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3728" w14:textId="78870493" w:rsidR="002F443E" w:rsidRDefault="002F443E" w:rsidP="00A94FE1">
      <w:pPr>
        <w:jc w:val="both"/>
        <w:rPr>
          <w:b/>
          <w:sz w:val="40"/>
          <w:szCs w:val="40"/>
        </w:rPr>
      </w:pPr>
      <w:bookmarkStart w:id="0" w:name="_Toc2585481"/>
      <w:r>
        <w:rPr>
          <w:noProof/>
        </w:rPr>
        <w:drawing>
          <wp:inline distT="0" distB="0" distL="0" distR="0" wp14:anchorId="3F5AD2CE" wp14:editId="160A0DE7">
            <wp:extent cx="1046049" cy="7937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3246" cy="806799"/>
                    </a:xfrm>
                    <a:prstGeom prst="rect">
                      <a:avLst/>
                    </a:prstGeom>
                    <a:noFill/>
                    <a:ln>
                      <a:noFill/>
                    </a:ln>
                  </pic:spPr>
                </pic:pic>
              </a:graphicData>
            </a:graphic>
          </wp:inline>
        </w:drawing>
      </w:r>
    </w:p>
    <w:p w14:paraId="6EC76832" w14:textId="77777777" w:rsidR="002F443E" w:rsidRDefault="002F443E" w:rsidP="00A94FE1">
      <w:pPr>
        <w:jc w:val="both"/>
        <w:rPr>
          <w:b/>
          <w:sz w:val="40"/>
          <w:szCs w:val="40"/>
        </w:rPr>
      </w:pPr>
    </w:p>
    <w:p w14:paraId="6D07F711" w14:textId="497231F6" w:rsidR="002F443E" w:rsidRDefault="002F443E" w:rsidP="00D221C4">
      <w:pPr>
        <w:jc w:val="both"/>
        <w:rPr>
          <w:b/>
          <w:sz w:val="40"/>
          <w:szCs w:val="40"/>
        </w:rPr>
      </w:pPr>
      <w:r w:rsidRPr="002F443E">
        <w:rPr>
          <w:b/>
          <w:sz w:val="40"/>
          <w:szCs w:val="40"/>
        </w:rPr>
        <w:t>PAYMENT CARD ACCEPTANCE PROCEDURE</w:t>
      </w:r>
      <w:r>
        <w:rPr>
          <w:b/>
          <w:sz w:val="40"/>
          <w:szCs w:val="40"/>
        </w:rPr>
        <w:t>S</w:t>
      </w:r>
    </w:p>
    <w:p w14:paraId="3CF37F1D" w14:textId="77777777" w:rsidR="00D221C4" w:rsidRPr="00D221C4" w:rsidRDefault="00D221C4" w:rsidP="00D221C4">
      <w:pPr>
        <w:jc w:val="both"/>
      </w:pPr>
    </w:p>
    <w:p w14:paraId="5B4622A3" w14:textId="231EBB66" w:rsidR="00075916" w:rsidRPr="00FB67FF" w:rsidRDefault="002F443E" w:rsidP="00A94FE1">
      <w:pPr>
        <w:pStyle w:val="Heading1"/>
        <w:jc w:val="both"/>
        <w:rPr>
          <w:b/>
        </w:rPr>
      </w:pPr>
      <w:r>
        <w:rPr>
          <w:b/>
        </w:rPr>
        <w:t>P</w:t>
      </w:r>
      <w:r w:rsidR="00B64F59" w:rsidRPr="00FB67FF">
        <w:rPr>
          <w:b/>
        </w:rPr>
        <w:t>urpose</w:t>
      </w:r>
      <w:bookmarkEnd w:id="0"/>
    </w:p>
    <w:p w14:paraId="12E25E00" w14:textId="2237A15C" w:rsidR="00CB15F5" w:rsidRDefault="00CB15F5" w:rsidP="00A94FE1">
      <w:pPr>
        <w:jc w:val="both"/>
      </w:pPr>
      <w:r w:rsidRPr="00FB67FF">
        <w:t>The purpose of these procedures is to outline the steps that depar</w:t>
      </w:r>
      <w:r w:rsidR="00DA29B9">
        <w:t>tments, faculties, and units (“m</w:t>
      </w:r>
      <w:r w:rsidRPr="00FB67FF">
        <w:t xml:space="preserve">erchants”) must follow for all payment card (debit and credit card) transactions at </w:t>
      </w:r>
      <w:r w:rsidR="00F505B1">
        <w:t>Queen’s University</w:t>
      </w:r>
      <w:r w:rsidR="00DA29B9">
        <w:t>. All m</w:t>
      </w:r>
      <w:r w:rsidRPr="00FB67FF">
        <w:t>erchants that accept payment cards must follow these procedures for the protection of payment card data as described in the Payment Card Industry Data Security Standards (PCI DSS), and as further contained in the University’s Payment Card Acceptance Policy.</w:t>
      </w:r>
    </w:p>
    <w:sdt>
      <w:sdtPr>
        <w:rPr>
          <w:b/>
          <w:i w:val="0"/>
          <w:color w:val="auto"/>
          <w:sz w:val="22"/>
          <w:szCs w:val="22"/>
        </w:rPr>
        <w:id w:val="1533545970"/>
        <w:docPartObj>
          <w:docPartGallery w:val="Table of Contents"/>
          <w:docPartUnique/>
        </w:docPartObj>
      </w:sdtPr>
      <w:sdtEndPr>
        <w:rPr>
          <w:noProof/>
        </w:rPr>
      </w:sdtEndPr>
      <w:sdtContent>
        <w:p w14:paraId="06195B07" w14:textId="5D33777F" w:rsidR="00DA1DD4" w:rsidRPr="00DA1DD4" w:rsidRDefault="00DA1DD4" w:rsidP="00A94FE1">
          <w:pPr>
            <w:pStyle w:val="TOCHeading"/>
            <w:jc w:val="both"/>
            <w:rPr>
              <w:b/>
            </w:rPr>
          </w:pPr>
          <w:r w:rsidRPr="00DA1DD4">
            <w:rPr>
              <w:b/>
            </w:rPr>
            <w:t>Contents</w:t>
          </w:r>
        </w:p>
        <w:p w14:paraId="63377F64" w14:textId="52C27A1D" w:rsidR="004D7524" w:rsidRDefault="00DA1DD4" w:rsidP="00A94FE1">
          <w:pPr>
            <w:pStyle w:val="TOC1"/>
            <w:tabs>
              <w:tab w:val="right" w:leader="dot" w:pos="9350"/>
            </w:tabs>
            <w:jc w:val="both"/>
            <w:rPr>
              <w:rFonts w:asciiTheme="minorHAnsi" w:eastAsiaTheme="minorEastAsia" w:hAnsiTheme="minorHAnsi" w:cstheme="minorBidi"/>
              <w:bCs w:val="0"/>
              <w:iCs w:val="0"/>
              <w:noProof/>
            </w:rPr>
          </w:pPr>
          <w:r>
            <w:rPr>
              <w:b/>
              <w:noProof/>
            </w:rPr>
            <w:fldChar w:fldCharType="begin"/>
          </w:r>
          <w:r>
            <w:rPr>
              <w:b/>
              <w:noProof/>
            </w:rPr>
            <w:instrText xml:space="preserve"> TOC \o "1-3" \h \z \u </w:instrText>
          </w:r>
          <w:r>
            <w:rPr>
              <w:b/>
              <w:noProof/>
            </w:rPr>
            <w:fldChar w:fldCharType="separate"/>
          </w:r>
          <w:hyperlink w:anchor="_Toc2585481" w:history="1">
            <w:r w:rsidR="004D7524" w:rsidRPr="00AF4B89">
              <w:rPr>
                <w:rStyle w:val="Hyperlink"/>
                <w:b/>
                <w:noProof/>
              </w:rPr>
              <w:t>Purpose</w:t>
            </w:r>
            <w:r w:rsidR="004D7524">
              <w:rPr>
                <w:noProof/>
                <w:webHidden/>
              </w:rPr>
              <w:tab/>
            </w:r>
            <w:r w:rsidR="004D7524">
              <w:rPr>
                <w:noProof/>
                <w:webHidden/>
              </w:rPr>
              <w:fldChar w:fldCharType="begin"/>
            </w:r>
            <w:r w:rsidR="004D7524">
              <w:rPr>
                <w:noProof/>
                <w:webHidden/>
              </w:rPr>
              <w:instrText xml:space="preserve"> PAGEREF _Toc2585481 \h </w:instrText>
            </w:r>
            <w:r w:rsidR="004D7524">
              <w:rPr>
                <w:noProof/>
                <w:webHidden/>
              </w:rPr>
            </w:r>
            <w:r w:rsidR="004D7524">
              <w:rPr>
                <w:noProof/>
                <w:webHidden/>
              </w:rPr>
              <w:fldChar w:fldCharType="separate"/>
            </w:r>
            <w:r w:rsidR="004D7524">
              <w:rPr>
                <w:noProof/>
                <w:webHidden/>
              </w:rPr>
              <w:t>1</w:t>
            </w:r>
            <w:r w:rsidR="004D7524">
              <w:rPr>
                <w:noProof/>
                <w:webHidden/>
              </w:rPr>
              <w:fldChar w:fldCharType="end"/>
            </w:r>
          </w:hyperlink>
        </w:p>
        <w:p w14:paraId="631F095A" w14:textId="7405F11D" w:rsidR="004D7524" w:rsidRDefault="006E10B8" w:rsidP="00A94FE1">
          <w:pPr>
            <w:pStyle w:val="TOC1"/>
            <w:tabs>
              <w:tab w:val="right" w:leader="dot" w:pos="9350"/>
            </w:tabs>
            <w:jc w:val="both"/>
            <w:rPr>
              <w:rFonts w:asciiTheme="minorHAnsi" w:eastAsiaTheme="minorEastAsia" w:hAnsiTheme="minorHAnsi" w:cstheme="minorBidi"/>
              <w:bCs w:val="0"/>
              <w:iCs w:val="0"/>
              <w:noProof/>
            </w:rPr>
          </w:pPr>
          <w:hyperlink w:anchor="_Toc2585482" w:history="1">
            <w:r w:rsidR="004D7524" w:rsidRPr="00AF4B89">
              <w:rPr>
                <w:rStyle w:val="Hyperlink"/>
                <w:b/>
                <w:noProof/>
              </w:rPr>
              <w:t>Procedure</w:t>
            </w:r>
            <w:r w:rsidR="004D7524">
              <w:rPr>
                <w:noProof/>
                <w:webHidden/>
              </w:rPr>
              <w:tab/>
            </w:r>
            <w:r w:rsidR="004D7524">
              <w:rPr>
                <w:noProof/>
                <w:webHidden/>
              </w:rPr>
              <w:fldChar w:fldCharType="begin"/>
            </w:r>
            <w:r w:rsidR="004D7524">
              <w:rPr>
                <w:noProof/>
                <w:webHidden/>
              </w:rPr>
              <w:instrText xml:space="preserve"> PAGEREF _Toc2585482 \h </w:instrText>
            </w:r>
            <w:r w:rsidR="004D7524">
              <w:rPr>
                <w:noProof/>
                <w:webHidden/>
              </w:rPr>
            </w:r>
            <w:r w:rsidR="004D7524">
              <w:rPr>
                <w:noProof/>
                <w:webHidden/>
              </w:rPr>
              <w:fldChar w:fldCharType="separate"/>
            </w:r>
            <w:r w:rsidR="004D7524">
              <w:rPr>
                <w:noProof/>
                <w:webHidden/>
              </w:rPr>
              <w:t>2</w:t>
            </w:r>
            <w:r w:rsidR="004D7524">
              <w:rPr>
                <w:noProof/>
                <w:webHidden/>
              </w:rPr>
              <w:fldChar w:fldCharType="end"/>
            </w:r>
          </w:hyperlink>
        </w:p>
        <w:p w14:paraId="38B69C5C" w14:textId="14F84C17" w:rsidR="004D7524" w:rsidRDefault="006E10B8" w:rsidP="00A94FE1">
          <w:pPr>
            <w:pStyle w:val="TOC2"/>
            <w:tabs>
              <w:tab w:val="right" w:leader="dot" w:pos="9350"/>
            </w:tabs>
            <w:jc w:val="both"/>
            <w:rPr>
              <w:rFonts w:asciiTheme="minorHAnsi" w:eastAsiaTheme="minorEastAsia" w:hAnsiTheme="minorHAnsi" w:cstheme="minorBidi"/>
              <w:bCs w:val="0"/>
              <w:iCs w:val="0"/>
              <w:noProof/>
            </w:rPr>
          </w:pPr>
          <w:hyperlink w:anchor="_Toc2585483" w:history="1">
            <w:r w:rsidR="004D7524" w:rsidRPr="00AF4B89">
              <w:rPr>
                <w:rStyle w:val="Hyperlink"/>
                <w:noProof/>
              </w:rPr>
              <w:t>1.0 Approved Methods for Accepting, Storing, and Disposing of Payment Card Data</w:t>
            </w:r>
            <w:r w:rsidR="004D7524">
              <w:rPr>
                <w:noProof/>
                <w:webHidden/>
              </w:rPr>
              <w:tab/>
            </w:r>
            <w:r w:rsidR="004D7524">
              <w:rPr>
                <w:noProof/>
                <w:webHidden/>
              </w:rPr>
              <w:fldChar w:fldCharType="begin"/>
            </w:r>
            <w:r w:rsidR="004D7524">
              <w:rPr>
                <w:noProof/>
                <w:webHidden/>
              </w:rPr>
              <w:instrText xml:space="preserve"> PAGEREF _Toc2585483 \h </w:instrText>
            </w:r>
            <w:r w:rsidR="004D7524">
              <w:rPr>
                <w:noProof/>
                <w:webHidden/>
              </w:rPr>
            </w:r>
            <w:r w:rsidR="004D7524">
              <w:rPr>
                <w:noProof/>
                <w:webHidden/>
              </w:rPr>
              <w:fldChar w:fldCharType="separate"/>
            </w:r>
            <w:r w:rsidR="004D7524">
              <w:rPr>
                <w:noProof/>
                <w:webHidden/>
              </w:rPr>
              <w:t>2</w:t>
            </w:r>
            <w:r w:rsidR="004D7524">
              <w:rPr>
                <w:noProof/>
                <w:webHidden/>
              </w:rPr>
              <w:fldChar w:fldCharType="end"/>
            </w:r>
          </w:hyperlink>
        </w:p>
        <w:p w14:paraId="50994705" w14:textId="21393D58" w:rsidR="004D7524" w:rsidRDefault="006E10B8" w:rsidP="00A94FE1">
          <w:pPr>
            <w:pStyle w:val="TOC3"/>
            <w:jc w:val="both"/>
            <w:rPr>
              <w:rFonts w:asciiTheme="minorHAnsi" w:eastAsiaTheme="minorEastAsia" w:hAnsiTheme="minorHAnsi" w:cstheme="minorBidi"/>
              <w:noProof/>
            </w:rPr>
          </w:pPr>
          <w:hyperlink w:anchor="_Toc2585484" w:history="1">
            <w:r w:rsidR="004D7524" w:rsidRPr="00AF4B89">
              <w:rPr>
                <w:rStyle w:val="Hyperlink"/>
                <w:noProof/>
              </w:rPr>
              <w:t>1.1 Accepting Electronic Media</w:t>
            </w:r>
            <w:r w:rsidR="004D7524">
              <w:rPr>
                <w:noProof/>
                <w:webHidden/>
              </w:rPr>
              <w:tab/>
            </w:r>
            <w:r w:rsidR="004D7524">
              <w:rPr>
                <w:noProof/>
                <w:webHidden/>
              </w:rPr>
              <w:fldChar w:fldCharType="begin"/>
            </w:r>
            <w:r w:rsidR="004D7524">
              <w:rPr>
                <w:noProof/>
                <w:webHidden/>
              </w:rPr>
              <w:instrText xml:space="preserve"> PAGEREF _Toc2585484 \h </w:instrText>
            </w:r>
            <w:r w:rsidR="004D7524">
              <w:rPr>
                <w:noProof/>
                <w:webHidden/>
              </w:rPr>
            </w:r>
            <w:r w:rsidR="004D7524">
              <w:rPr>
                <w:noProof/>
                <w:webHidden/>
              </w:rPr>
              <w:fldChar w:fldCharType="separate"/>
            </w:r>
            <w:r w:rsidR="004D7524">
              <w:rPr>
                <w:noProof/>
                <w:webHidden/>
              </w:rPr>
              <w:t>2</w:t>
            </w:r>
            <w:r w:rsidR="004D7524">
              <w:rPr>
                <w:noProof/>
                <w:webHidden/>
              </w:rPr>
              <w:fldChar w:fldCharType="end"/>
            </w:r>
          </w:hyperlink>
        </w:p>
        <w:p w14:paraId="23465D3D" w14:textId="74EF9490" w:rsidR="004D7524" w:rsidRDefault="006E10B8" w:rsidP="00A94FE1">
          <w:pPr>
            <w:pStyle w:val="TOC3"/>
            <w:jc w:val="both"/>
            <w:rPr>
              <w:rFonts w:asciiTheme="minorHAnsi" w:eastAsiaTheme="minorEastAsia" w:hAnsiTheme="minorHAnsi" w:cstheme="minorBidi"/>
              <w:noProof/>
            </w:rPr>
          </w:pPr>
          <w:hyperlink w:anchor="_Toc2585485" w:history="1">
            <w:r w:rsidR="004D7524" w:rsidRPr="00AF4B89">
              <w:rPr>
                <w:rStyle w:val="Hyperlink"/>
                <w:noProof/>
              </w:rPr>
              <w:t>1.2 Approved Methods of Electronic Media Storage</w:t>
            </w:r>
            <w:r w:rsidR="004D7524">
              <w:rPr>
                <w:noProof/>
                <w:webHidden/>
              </w:rPr>
              <w:tab/>
            </w:r>
            <w:r w:rsidR="004D7524">
              <w:rPr>
                <w:noProof/>
                <w:webHidden/>
              </w:rPr>
              <w:fldChar w:fldCharType="begin"/>
            </w:r>
            <w:r w:rsidR="004D7524">
              <w:rPr>
                <w:noProof/>
                <w:webHidden/>
              </w:rPr>
              <w:instrText xml:space="preserve"> PAGEREF _Toc2585485 \h </w:instrText>
            </w:r>
            <w:r w:rsidR="004D7524">
              <w:rPr>
                <w:noProof/>
                <w:webHidden/>
              </w:rPr>
            </w:r>
            <w:r w:rsidR="004D7524">
              <w:rPr>
                <w:noProof/>
                <w:webHidden/>
              </w:rPr>
              <w:fldChar w:fldCharType="separate"/>
            </w:r>
            <w:r w:rsidR="004D7524">
              <w:rPr>
                <w:noProof/>
                <w:webHidden/>
              </w:rPr>
              <w:t>3</w:t>
            </w:r>
            <w:r w:rsidR="004D7524">
              <w:rPr>
                <w:noProof/>
                <w:webHidden/>
              </w:rPr>
              <w:fldChar w:fldCharType="end"/>
            </w:r>
          </w:hyperlink>
        </w:p>
        <w:p w14:paraId="5D73BF81" w14:textId="30469C76" w:rsidR="004D7524" w:rsidRDefault="006E10B8" w:rsidP="00A94FE1">
          <w:pPr>
            <w:pStyle w:val="TOC3"/>
            <w:jc w:val="both"/>
            <w:rPr>
              <w:rFonts w:asciiTheme="minorHAnsi" w:eastAsiaTheme="minorEastAsia" w:hAnsiTheme="minorHAnsi" w:cstheme="minorBidi"/>
              <w:noProof/>
            </w:rPr>
          </w:pPr>
          <w:hyperlink w:anchor="_Toc2585486" w:history="1">
            <w:r w:rsidR="004D7524" w:rsidRPr="00AF4B89">
              <w:rPr>
                <w:rStyle w:val="Hyperlink"/>
                <w:noProof/>
              </w:rPr>
              <w:t>1.3 Equipment Servicing, Trade-ins &amp; Disposal</w:t>
            </w:r>
            <w:r w:rsidR="004D7524">
              <w:rPr>
                <w:noProof/>
                <w:webHidden/>
              </w:rPr>
              <w:tab/>
            </w:r>
            <w:r w:rsidR="004D7524">
              <w:rPr>
                <w:noProof/>
                <w:webHidden/>
              </w:rPr>
              <w:fldChar w:fldCharType="begin"/>
            </w:r>
            <w:r w:rsidR="004D7524">
              <w:rPr>
                <w:noProof/>
                <w:webHidden/>
              </w:rPr>
              <w:instrText xml:space="preserve"> PAGEREF _Toc2585486 \h </w:instrText>
            </w:r>
            <w:r w:rsidR="004D7524">
              <w:rPr>
                <w:noProof/>
                <w:webHidden/>
              </w:rPr>
            </w:r>
            <w:r w:rsidR="004D7524">
              <w:rPr>
                <w:noProof/>
                <w:webHidden/>
              </w:rPr>
              <w:fldChar w:fldCharType="separate"/>
            </w:r>
            <w:r w:rsidR="004D7524">
              <w:rPr>
                <w:noProof/>
                <w:webHidden/>
              </w:rPr>
              <w:t>4</w:t>
            </w:r>
            <w:r w:rsidR="004D7524">
              <w:rPr>
                <w:noProof/>
                <w:webHidden/>
              </w:rPr>
              <w:fldChar w:fldCharType="end"/>
            </w:r>
          </w:hyperlink>
        </w:p>
        <w:p w14:paraId="3C86A99B" w14:textId="1792D835" w:rsidR="004D7524" w:rsidRDefault="006E10B8" w:rsidP="00A94FE1">
          <w:pPr>
            <w:pStyle w:val="TOC3"/>
            <w:jc w:val="both"/>
            <w:rPr>
              <w:rFonts w:asciiTheme="minorHAnsi" w:eastAsiaTheme="minorEastAsia" w:hAnsiTheme="minorHAnsi" w:cstheme="minorBidi"/>
              <w:noProof/>
            </w:rPr>
          </w:pPr>
          <w:hyperlink w:anchor="_Toc2585487" w:history="1">
            <w:r w:rsidR="004D7524" w:rsidRPr="00AF4B89">
              <w:rPr>
                <w:rStyle w:val="Hyperlink"/>
                <w:noProof/>
              </w:rPr>
              <w:t>1.4 Electronic Media Records Retention</w:t>
            </w:r>
            <w:r w:rsidR="004D7524">
              <w:rPr>
                <w:noProof/>
                <w:webHidden/>
              </w:rPr>
              <w:tab/>
            </w:r>
            <w:r w:rsidR="004D7524">
              <w:rPr>
                <w:noProof/>
                <w:webHidden/>
              </w:rPr>
              <w:fldChar w:fldCharType="begin"/>
            </w:r>
            <w:r w:rsidR="004D7524">
              <w:rPr>
                <w:noProof/>
                <w:webHidden/>
              </w:rPr>
              <w:instrText xml:space="preserve"> PAGEREF _Toc2585487 \h </w:instrText>
            </w:r>
            <w:r w:rsidR="004D7524">
              <w:rPr>
                <w:noProof/>
                <w:webHidden/>
              </w:rPr>
            </w:r>
            <w:r w:rsidR="004D7524">
              <w:rPr>
                <w:noProof/>
                <w:webHidden/>
              </w:rPr>
              <w:fldChar w:fldCharType="separate"/>
            </w:r>
            <w:r w:rsidR="004D7524">
              <w:rPr>
                <w:noProof/>
                <w:webHidden/>
              </w:rPr>
              <w:t>4</w:t>
            </w:r>
            <w:r w:rsidR="004D7524">
              <w:rPr>
                <w:noProof/>
                <w:webHidden/>
              </w:rPr>
              <w:fldChar w:fldCharType="end"/>
            </w:r>
          </w:hyperlink>
        </w:p>
        <w:p w14:paraId="15256ECF" w14:textId="6AC18BE5" w:rsidR="004D7524" w:rsidRDefault="006E10B8" w:rsidP="00A94FE1">
          <w:pPr>
            <w:pStyle w:val="TOC3"/>
            <w:jc w:val="both"/>
            <w:rPr>
              <w:rFonts w:asciiTheme="minorHAnsi" w:eastAsiaTheme="minorEastAsia" w:hAnsiTheme="minorHAnsi" w:cstheme="minorBidi"/>
              <w:noProof/>
            </w:rPr>
          </w:pPr>
          <w:hyperlink w:anchor="_Toc2585488" w:history="1">
            <w:r w:rsidR="004D7524" w:rsidRPr="00AF4B89">
              <w:rPr>
                <w:rStyle w:val="Hyperlink"/>
                <w:noProof/>
              </w:rPr>
              <w:t>1.5 Approved Methods of Physical Media Acceptance</w:t>
            </w:r>
            <w:r w:rsidR="004D7524">
              <w:rPr>
                <w:noProof/>
                <w:webHidden/>
              </w:rPr>
              <w:tab/>
            </w:r>
            <w:r w:rsidR="004D7524">
              <w:rPr>
                <w:noProof/>
                <w:webHidden/>
              </w:rPr>
              <w:fldChar w:fldCharType="begin"/>
            </w:r>
            <w:r w:rsidR="004D7524">
              <w:rPr>
                <w:noProof/>
                <w:webHidden/>
              </w:rPr>
              <w:instrText xml:space="preserve"> PAGEREF _Toc2585488 \h </w:instrText>
            </w:r>
            <w:r w:rsidR="004D7524">
              <w:rPr>
                <w:noProof/>
                <w:webHidden/>
              </w:rPr>
            </w:r>
            <w:r w:rsidR="004D7524">
              <w:rPr>
                <w:noProof/>
                <w:webHidden/>
              </w:rPr>
              <w:fldChar w:fldCharType="separate"/>
            </w:r>
            <w:r w:rsidR="004D7524">
              <w:rPr>
                <w:noProof/>
                <w:webHidden/>
              </w:rPr>
              <w:t>4</w:t>
            </w:r>
            <w:r w:rsidR="004D7524">
              <w:rPr>
                <w:noProof/>
                <w:webHidden/>
              </w:rPr>
              <w:fldChar w:fldCharType="end"/>
            </w:r>
          </w:hyperlink>
        </w:p>
        <w:p w14:paraId="5818CA53" w14:textId="00BEE64E" w:rsidR="004D7524" w:rsidRDefault="006E10B8" w:rsidP="00A94FE1">
          <w:pPr>
            <w:pStyle w:val="TOC3"/>
            <w:jc w:val="both"/>
            <w:rPr>
              <w:rFonts w:asciiTheme="minorHAnsi" w:eastAsiaTheme="minorEastAsia" w:hAnsiTheme="minorHAnsi" w:cstheme="minorBidi"/>
              <w:noProof/>
            </w:rPr>
          </w:pPr>
          <w:hyperlink w:anchor="_Toc2585489" w:history="1">
            <w:r w:rsidR="004D7524" w:rsidRPr="00AF4B89">
              <w:rPr>
                <w:rStyle w:val="Hyperlink"/>
                <w:noProof/>
              </w:rPr>
              <w:t>1.6 Physical Media Storage</w:t>
            </w:r>
            <w:r w:rsidR="004D7524">
              <w:rPr>
                <w:noProof/>
                <w:webHidden/>
              </w:rPr>
              <w:tab/>
            </w:r>
            <w:r w:rsidR="004D7524">
              <w:rPr>
                <w:noProof/>
                <w:webHidden/>
              </w:rPr>
              <w:fldChar w:fldCharType="begin"/>
            </w:r>
            <w:r w:rsidR="004D7524">
              <w:rPr>
                <w:noProof/>
                <w:webHidden/>
              </w:rPr>
              <w:instrText xml:space="preserve"> PAGEREF _Toc2585489 \h </w:instrText>
            </w:r>
            <w:r w:rsidR="004D7524">
              <w:rPr>
                <w:noProof/>
                <w:webHidden/>
              </w:rPr>
            </w:r>
            <w:r w:rsidR="004D7524">
              <w:rPr>
                <w:noProof/>
                <w:webHidden/>
              </w:rPr>
              <w:fldChar w:fldCharType="separate"/>
            </w:r>
            <w:r w:rsidR="004D7524">
              <w:rPr>
                <w:noProof/>
                <w:webHidden/>
              </w:rPr>
              <w:t>5</w:t>
            </w:r>
            <w:r w:rsidR="004D7524">
              <w:rPr>
                <w:noProof/>
                <w:webHidden/>
              </w:rPr>
              <w:fldChar w:fldCharType="end"/>
            </w:r>
          </w:hyperlink>
        </w:p>
        <w:p w14:paraId="4A16A4CC" w14:textId="32C3B705" w:rsidR="004D7524" w:rsidRDefault="006E10B8" w:rsidP="00A94FE1">
          <w:pPr>
            <w:pStyle w:val="TOC3"/>
            <w:jc w:val="both"/>
            <w:rPr>
              <w:rFonts w:asciiTheme="minorHAnsi" w:eastAsiaTheme="minorEastAsia" w:hAnsiTheme="minorHAnsi" w:cstheme="minorBidi"/>
              <w:noProof/>
            </w:rPr>
          </w:pPr>
          <w:hyperlink w:anchor="_Toc2585490" w:history="1">
            <w:r w:rsidR="004D7524" w:rsidRPr="00AF4B89">
              <w:rPr>
                <w:rStyle w:val="Hyperlink"/>
                <w:noProof/>
              </w:rPr>
              <w:t>1.7 Physical Media Destruction</w:t>
            </w:r>
            <w:r w:rsidR="004D7524">
              <w:rPr>
                <w:noProof/>
                <w:webHidden/>
              </w:rPr>
              <w:tab/>
            </w:r>
            <w:r w:rsidR="004D7524">
              <w:rPr>
                <w:noProof/>
                <w:webHidden/>
              </w:rPr>
              <w:fldChar w:fldCharType="begin"/>
            </w:r>
            <w:r w:rsidR="004D7524">
              <w:rPr>
                <w:noProof/>
                <w:webHidden/>
              </w:rPr>
              <w:instrText xml:space="preserve"> PAGEREF _Toc2585490 \h </w:instrText>
            </w:r>
            <w:r w:rsidR="004D7524">
              <w:rPr>
                <w:noProof/>
                <w:webHidden/>
              </w:rPr>
            </w:r>
            <w:r w:rsidR="004D7524">
              <w:rPr>
                <w:noProof/>
                <w:webHidden/>
              </w:rPr>
              <w:fldChar w:fldCharType="separate"/>
            </w:r>
            <w:r w:rsidR="004D7524">
              <w:rPr>
                <w:noProof/>
                <w:webHidden/>
              </w:rPr>
              <w:t>6</w:t>
            </w:r>
            <w:r w:rsidR="004D7524">
              <w:rPr>
                <w:noProof/>
                <w:webHidden/>
              </w:rPr>
              <w:fldChar w:fldCharType="end"/>
            </w:r>
          </w:hyperlink>
        </w:p>
        <w:p w14:paraId="61BD0D5C" w14:textId="72FE6563" w:rsidR="004D7524" w:rsidRDefault="006E10B8" w:rsidP="00A94FE1">
          <w:pPr>
            <w:pStyle w:val="TOC3"/>
            <w:jc w:val="both"/>
            <w:rPr>
              <w:rFonts w:asciiTheme="minorHAnsi" w:eastAsiaTheme="minorEastAsia" w:hAnsiTheme="minorHAnsi" w:cstheme="minorBidi"/>
              <w:noProof/>
            </w:rPr>
          </w:pPr>
          <w:hyperlink w:anchor="_Toc2585491" w:history="1">
            <w:r w:rsidR="004D7524" w:rsidRPr="00AF4B89">
              <w:rPr>
                <w:rStyle w:val="Hyperlink"/>
                <w:noProof/>
              </w:rPr>
              <w:t>1.8 Physical Media Records Retention</w:t>
            </w:r>
            <w:r w:rsidR="004D7524">
              <w:rPr>
                <w:noProof/>
                <w:webHidden/>
              </w:rPr>
              <w:tab/>
            </w:r>
            <w:r w:rsidR="004D7524">
              <w:rPr>
                <w:noProof/>
                <w:webHidden/>
              </w:rPr>
              <w:fldChar w:fldCharType="begin"/>
            </w:r>
            <w:r w:rsidR="004D7524">
              <w:rPr>
                <w:noProof/>
                <w:webHidden/>
              </w:rPr>
              <w:instrText xml:space="preserve"> PAGEREF _Toc2585491 \h </w:instrText>
            </w:r>
            <w:r w:rsidR="004D7524">
              <w:rPr>
                <w:noProof/>
                <w:webHidden/>
              </w:rPr>
            </w:r>
            <w:r w:rsidR="004D7524">
              <w:rPr>
                <w:noProof/>
                <w:webHidden/>
              </w:rPr>
              <w:fldChar w:fldCharType="separate"/>
            </w:r>
            <w:r w:rsidR="004D7524">
              <w:rPr>
                <w:noProof/>
                <w:webHidden/>
              </w:rPr>
              <w:t>6</w:t>
            </w:r>
            <w:r w:rsidR="004D7524">
              <w:rPr>
                <w:noProof/>
                <w:webHidden/>
              </w:rPr>
              <w:fldChar w:fldCharType="end"/>
            </w:r>
          </w:hyperlink>
        </w:p>
        <w:p w14:paraId="2CB667CD" w14:textId="22FD5169" w:rsidR="004D7524" w:rsidRDefault="006E10B8" w:rsidP="00A94FE1">
          <w:pPr>
            <w:pStyle w:val="TOC2"/>
            <w:tabs>
              <w:tab w:val="right" w:leader="dot" w:pos="9350"/>
            </w:tabs>
            <w:jc w:val="both"/>
            <w:rPr>
              <w:rFonts w:asciiTheme="minorHAnsi" w:eastAsiaTheme="minorEastAsia" w:hAnsiTheme="minorHAnsi" w:cstheme="minorBidi"/>
              <w:bCs w:val="0"/>
              <w:iCs w:val="0"/>
              <w:noProof/>
            </w:rPr>
          </w:pPr>
          <w:hyperlink w:anchor="_Toc2585492" w:history="1">
            <w:r w:rsidR="004D7524" w:rsidRPr="00AF4B89">
              <w:rPr>
                <w:rStyle w:val="Hyperlink"/>
                <w:noProof/>
              </w:rPr>
              <w:t>2.0 Merchant Accounts</w:t>
            </w:r>
            <w:r w:rsidR="004D7524">
              <w:rPr>
                <w:noProof/>
                <w:webHidden/>
              </w:rPr>
              <w:tab/>
            </w:r>
            <w:r w:rsidR="004D7524">
              <w:rPr>
                <w:noProof/>
                <w:webHidden/>
              </w:rPr>
              <w:fldChar w:fldCharType="begin"/>
            </w:r>
            <w:r w:rsidR="004D7524">
              <w:rPr>
                <w:noProof/>
                <w:webHidden/>
              </w:rPr>
              <w:instrText xml:space="preserve"> PAGEREF _Toc2585492 \h </w:instrText>
            </w:r>
            <w:r w:rsidR="004D7524">
              <w:rPr>
                <w:noProof/>
                <w:webHidden/>
              </w:rPr>
            </w:r>
            <w:r w:rsidR="004D7524">
              <w:rPr>
                <w:noProof/>
                <w:webHidden/>
              </w:rPr>
              <w:fldChar w:fldCharType="separate"/>
            </w:r>
            <w:r w:rsidR="004D7524">
              <w:rPr>
                <w:noProof/>
                <w:webHidden/>
              </w:rPr>
              <w:t>6</w:t>
            </w:r>
            <w:r w:rsidR="004D7524">
              <w:rPr>
                <w:noProof/>
                <w:webHidden/>
              </w:rPr>
              <w:fldChar w:fldCharType="end"/>
            </w:r>
          </w:hyperlink>
        </w:p>
        <w:p w14:paraId="6CB8F418" w14:textId="746B31F3" w:rsidR="004D7524" w:rsidRDefault="006E10B8" w:rsidP="00A94FE1">
          <w:pPr>
            <w:pStyle w:val="TOC3"/>
            <w:jc w:val="both"/>
            <w:rPr>
              <w:rFonts w:asciiTheme="minorHAnsi" w:eastAsiaTheme="minorEastAsia" w:hAnsiTheme="minorHAnsi" w:cstheme="minorBidi"/>
              <w:noProof/>
            </w:rPr>
          </w:pPr>
          <w:hyperlink w:anchor="_Toc2585493" w:history="1">
            <w:r w:rsidR="004D7524" w:rsidRPr="00AF4B89">
              <w:rPr>
                <w:rStyle w:val="Hyperlink"/>
                <w:noProof/>
              </w:rPr>
              <w:t>2.1 Establishing Merchant Accounts with an Approved Acquirer</w:t>
            </w:r>
            <w:r w:rsidR="004D7524">
              <w:rPr>
                <w:noProof/>
                <w:webHidden/>
              </w:rPr>
              <w:tab/>
            </w:r>
            <w:r w:rsidR="004D7524">
              <w:rPr>
                <w:noProof/>
                <w:webHidden/>
              </w:rPr>
              <w:fldChar w:fldCharType="begin"/>
            </w:r>
            <w:r w:rsidR="004D7524">
              <w:rPr>
                <w:noProof/>
                <w:webHidden/>
              </w:rPr>
              <w:instrText xml:space="preserve"> PAGEREF _Toc2585493 \h </w:instrText>
            </w:r>
            <w:r w:rsidR="004D7524">
              <w:rPr>
                <w:noProof/>
                <w:webHidden/>
              </w:rPr>
            </w:r>
            <w:r w:rsidR="004D7524">
              <w:rPr>
                <w:noProof/>
                <w:webHidden/>
              </w:rPr>
              <w:fldChar w:fldCharType="separate"/>
            </w:r>
            <w:r w:rsidR="004D7524">
              <w:rPr>
                <w:noProof/>
                <w:webHidden/>
              </w:rPr>
              <w:t>6</w:t>
            </w:r>
            <w:r w:rsidR="004D7524">
              <w:rPr>
                <w:noProof/>
                <w:webHidden/>
              </w:rPr>
              <w:fldChar w:fldCharType="end"/>
            </w:r>
          </w:hyperlink>
        </w:p>
        <w:p w14:paraId="0E7927A5" w14:textId="437EB416" w:rsidR="004D7524" w:rsidRDefault="006E10B8" w:rsidP="00A94FE1">
          <w:pPr>
            <w:pStyle w:val="TOC3"/>
            <w:jc w:val="both"/>
            <w:rPr>
              <w:rFonts w:asciiTheme="minorHAnsi" w:eastAsiaTheme="minorEastAsia" w:hAnsiTheme="minorHAnsi" w:cstheme="minorBidi"/>
              <w:noProof/>
            </w:rPr>
          </w:pPr>
          <w:hyperlink w:anchor="_Toc2585494" w:history="1">
            <w:r w:rsidR="004D7524" w:rsidRPr="00AF4B89">
              <w:rPr>
                <w:rStyle w:val="Hyperlink"/>
                <w:noProof/>
              </w:rPr>
              <w:t>2.2 Modify or Remove an Existing Merchant Account</w:t>
            </w:r>
            <w:r w:rsidR="004D7524">
              <w:rPr>
                <w:noProof/>
                <w:webHidden/>
              </w:rPr>
              <w:tab/>
            </w:r>
            <w:r w:rsidR="004D7524">
              <w:rPr>
                <w:noProof/>
                <w:webHidden/>
              </w:rPr>
              <w:fldChar w:fldCharType="begin"/>
            </w:r>
            <w:r w:rsidR="004D7524">
              <w:rPr>
                <w:noProof/>
                <w:webHidden/>
              </w:rPr>
              <w:instrText xml:space="preserve"> PAGEREF _Toc2585494 \h </w:instrText>
            </w:r>
            <w:r w:rsidR="004D7524">
              <w:rPr>
                <w:noProof/>
                <w:webHidden/>
              </w:rPr>
            </w:r>
            <w:r w:rsidR="004D7524">
              <w:rPr>
                <w:noProof/>
                <w:webHidden/>
              </w:rPr>
              <w:fldChar w:fldCharType="separate"/>
            </w:r>
            <w:r w:rsidR="004D7524">
              <w:rPr>
                <w:noProof/>
                <w:webHidden/>
              </w:rPr>
              <w:t>7</w:t>
            </w:r>
            <w:r w:rsidR="004D7524">
              <w:rPr>
                <w:noProof/>
                <w:webHidden/>
              </w:rPr>
              <w:fldChar w:fldCharType="end"/>
            </w:r>
          </w:hyperlink>
        </w:p>
        <w:p w14:paraId="58F2A035" w14:textId="3E0963F3" w:rsidR="004D7524" w:rsidRDefault="006E10B8" w:rsidP="00A94FE1">
          <w:pPr>
            <w:pStyle w:val="TOC2"/>
            <w:tabs>
              <w:tab w:val="right" w:leader="dot" w:pos="9350"/>
            </w:tabs>
            <w:jc w:val="both"/>
            <w:rPr>
              <w:rFonts w:asciiTheme="minorHAnsi" w:eastAsiaTheme="minorEastAsia" w:hAnsiTheme="minorHAnsi" w:cstheme="minorBidi"/>
              <w:bCs w:val="0"/>
              <w:iCs w:val="0"/>
              <w:noProof/>
            </w:rPr>
          </w:pPr>
          <w:hyperlink w:anchor="_Toc2585495" w:history="1">
            <w:r w:rsidR="004D7524" w:rsidRPr="00AF4B89">
              <w:rPr>
                <w:rStyle w:val="Hyperlink"/>
                <w:noProof/>
              </w:rPr>
              <w:t>3.0 Exemption Requests</w:t>
            </w:r>
            <w:r w:rsidR="004D7524">
              <w:rPr>
                <w:noProof/>
                <w:webHidden/>
              </w:rPr>
              <w:tab/>
            </w:r>
            <w:r w:rsidR="004D7524">
              <w:rPr>
                <w:noProof/>
                <w:webHidden/>
              </w:rPr>
              <w:fldChar w:fldCharType="begin"/>
            </w:r>
            <w:r w:rsidR="004D7524">
              <w:rPr>
                <w:noProof/>
                <w:webHidden/>
              </w:rPr>
              <w:instrText xml:space="preserve"> PAGEREF _Toc2585495 \h </w:instrText>
            </w:r>
            <w:r w:rsidR="004D7524">
              <w:rPr>
                <w:noProof/>
                <w:webHidden/>
              </w:rPr>
            </w:r>
            <w:r w:rsidR="004D7524">
              <w:rPr>
                <w:noProof/>
                <w:webHidden/>
              </w:rPr>
              <w:fldChar w:fldCharType="separate"/>
            </w:r>
            <w:r w:rsidR="004D7524">
              <w:rPr>
                <w:noProof/>
                <w:webHidden/>
              </w:rPr>
              <w:t>8</w:t>
            </w:r>
            <w:r w:rsidR="004D7524">
              <w:rPr>
                <w:noProof/>
                <w:webHidden/>
              </w:rPr>
              <w:fldChar w:fldCharType="end"/>
            </w:r>
          </w:hyperlink>
        </w:p>
        <w:p w14:paraId="6EF90517" w14:textId="3D5E907E" w:rsidR="004D7524" w:rsidRDefault="006E10B8" w:rsidP="00A94FE1">
          <w:pPr>
            <w:pStyle w:val="TOC3"/>
            <w:jc w:val="both"/>
            <w:rPr>
              <w:rFonts w:asciiTheme="minorHAnsi" w:eastAsiaTheme="minorEastAsia" w:hAnsiTheme="minorHAnsi" w:cstheme="minorBidi"/>
              <w:noProof/>
            </w:rPr>
          </w:pPr>
          <w:hyperlink w:anchor="_Toc2585496" w:history="1">
            <w:r w:rsidR="004D7524" w:rsidRPr="00AF4B89">
              <w:rPr>
                <w:rStyle w:val="Hyperlink"/>
                <w:noProof/>
              </w:rPr>
              <w:t>3.1 Submitting a Payment Card Acceptance Policy Exemption Request to use a Non-Approved Payment Application or Service Provider</w:t>
            </w:r>
            <w:r w:rsidR="004D7524">
              <w:rPr>
                <w:noProof/>
                <w:webHidden/>
              </w:rPr>
              <w:tab/>
            </w:r>
            <w:r w:rsidR="004D7524">
              <w:rPr>
                <w:noProof/>
                <w:webHidden/>
              </w:rPr>
              <w:fldChar w:fldCharType="begin"/>
            </w:r>
            <w:r w:rsidR="004D7524">
              <w:rPr>
                <w:noProof/>
                <w:webHidden/>
              </w:rPr>
              <w:instrText xml:space="preserve"> PAGEREF _Toc2585496 \h </w:instrText>
            </w:r>
            <w:r w:rsidR="004D7524">
              <w:rPr>
                <w:noProof/>
                <w:webHidden/>
              </w:rPr>
            </w:r>
            <w:r w:rsidR="004D7524">
              <w:rPr>
                <w:noProof/>
                <w:webHidden/>
              </w:rPr>
              <w:fldChar w:fldCharType="separate"/>
            </w:r>
            <w:r w:rsidR="004D7524">
              <w:rPr>
                <w:noProof/>
                <w:webHidden/>
              </w:rPr>
              <w:t>8</w:t>
            </w:r>
            <w:r w:rsidR="004D7524">
              <w:rPr>
                <w:noProof/>
                <w:webHidden/>
              </w:rPr>
              <w:fldChar w:fldCharType="end"/>
            </w:r>
          </w:hyperlink>
        </w:p>
        <w:p w14:paraId="62453C83" w14:textId="1A299F55" w:rsidR="004D7524" w:rsidRDefault="006E10B8" w:rsidP="00A94FE1">
          <w:pPr>
            <w:pStyle w:val="TOC3"/>
            <w:jc w:val="both"/>
            <w:rPr>
              <w:rFonts w:asciiTheme="minorHAnsi" w:eastAsiaTheme="minorEastAsia" w:hAnsiTheme="minorHAnsi" w:cstheme="minorBidi"/>
              <w:noProof/>
            </w:rPr>
          </w:pPr>
          <w:hyperlink w:anchor="_Toc2585497" w:history="1">
            <w:r w:rsidR="004D7524" w:rsidRPr="00AF4B89">
              <w:rPr>
                <w:rStyle w:val="Hyperlink"/>
                <w:noProof/>
              </w:rPr>
              <w:t>3.2 Modifications and Terminations to Payment Applications and Service Provider Agreements</w:t>
            </w:r>
            <w:r w:rsidR="004D7524">
              <w:rPr>
                <w:noProof/>
                <w:webHidden/>
              </w:rPr>
              <w:tab/>
            </w:r>
            <w:r w:rsidR="004D7524">
              <w:rPr>
                <w:noProof/>
                <w:webHidden/>
              </w:rPr>
              <w:fldChar w:fldCharType="begin"/>
            </w:r>
            <w:r w:rsidR="004D7524">
              <w:rPr>
                <w:noProof/>
                <w:webHidden/>
              </w:rPr>
              <w:instrText xml:space="preserve"> PAGEREF _Toc2585497 \h </w:instrText>
            </w:r>
            <w:r w:rsidR="004D7524">
              <w:rPr>
                <w:noProof/>
                <w:webHidden/>
              </w:rPr>
            </w:r>
            <w:r w:rsidR="004D7524">
              <w:rPr>
                <w:noProof/>
                <w:webHidden/>
              </w:rPr>
              <w:fldChar w:fldCharType="separate"/>
            </w:r>
            <w:r w:rsidR="004D7524">
              <w:rPr>
                <w:noProof/>
                <w:webHidden/>
              </w:rPr>
              <w:t>9</w:t>
            </w:r>
            <w:r w:rsidR="004D7524">
              <w:rPr>
                <w:noProof/>
                <w:webHidden/>
              </w:rPr>
              <w:fldChar w:fldCharType="end"/>
            </w:r>
          </w:hyperlink>
        </w:p>
        <w:p w14:paraId="152F62DB" w14:textId="1C4D0A97" w:rsidR="004D7524" w:rsidRDefault="006E10B8" w:rsidP="00A94FE1">
          <w:pPr>
            <w:pStyle w:val="TOC2"/>
            <w:tabs>
              <w:tab w:val="right" w:leader="dot" w:pos="9350"/>
            </w:tabs>
            <w:jc w:val="both"/>
            <w:rPr>
              <w:rFonts w:asciiTheme="minorHAnsi" w:eastAsiaTheme="minorEastAsia" w:hAnsiTheme="minorHAnsi" w:cstheme="minorBidi"/>
              <w:bCs w:val="0"/>
              <w:iCs w:val="0"/>
              <w:noProof/>
            </w:rPr>
          </w:pPr>
          <w:hyperlink w:anchor="_Toc2585498" w:history="1">
            <w:r w:rsidR="004D7524" w:rsidRPr="00AF4B89">
              <w:rPr>
                <w:rStyle w:val="Hyperlink"/>
                <w:noProof/>
              </w:rPr>
              <w:t>4.0 User Access</w:t>
            </w:r>
            <w:r w:rsidR="004D7524">
              <w:rPr>
                <w:noProof/>
                <w:webHidden/>
              </w:rPr>
              <w:tab/>
            </w:r>
            <w:r w:rsidR="004D7524">
              <w:rPr>
                <w:noProof/>
                <w:webHidden/>
              </w:rPr>
              <w:fldChar w:fldCharType="begin"/>
            </w:r>
            <w:r w:rsidR="004D7524">
              <w:rPr>
                <w:noProof/>
                <w:webHidden/>
              </w:rPr>
              <w:instrText xml:space="preserve"> PAGEREF _Toc2585498 \h </w:instrText>
            </w:r>
            <w:r w:rsidR="004D7524">
              <w:rPr>
                <w:noProof/>
                <w:webHidden/>
              </w:rPr>
            </w:r>
            <w:r w:rsidR="004D7524">
              <w:rPr>
                <w:noProof/>
                <w:webHidden/>
              </w:rPr>
              <w:fldChar w:fldCharType="separate"/>
            </w:r>
            <w:r w:rsidR="004D7524">
              <w:rPr>
                <w:noProof/>
                <w:webHidden/>
              </w:rPr>
              <w:t>10</w:t>
            </w:r>
            <w:r w:rsidR="004D7524">
              <w:rPr>
                <w:noProof/>
                <w:webHidden/>
              </w:rPr>
              <w:fldChar w:fldCharType="end"/>
            </w:r>
          </w:hyperlink>
        </w:p>
        <w:p w14:paraId="55F0294C" w14:textId="5A49915F" w:rsidR="004D7524" w:rsidRDefault="006E10B8" w:rsidP="00A94FE1">
          <w:pPr>
            <w:pStyle w:val="TOC3"/>
            <w:jc w:val="both"/>
            <w:rPr>
              <w:rFonts w:asciiTheme="minorHAnsi" w:eastAsiaTheme="minorEastAsia" w:hAnsiTheme="minorHAnsi" w:cstheme="minorBidi"/>
              <w:noProof/>
            </w:rPr>
          </w:pPr>
          <w:hyperlink w:anchor="_Toc2585499" w:history="1">
            <w:r w:rsidR="004D7524" w:rsidRPr="00AF4B89">
              <w:rPr>
                <w:rStyle w:val="Hyperlink"/>
                <w:noProof/>
              </w:rPr>
              <w:t>4.1 New User (Employee, Contractor, Service Providers acting on behalf of Queen’s) Access</w:t>
            </w:r>
            <w:r w:rsidR="004D7524">
              <w:rPr>
                <w:noProof/>
                <w:webHidden/>
              </w:rPr>
              <w:tab/>
            </w:r>
            <w:r w:rsidR="004D7524">
              <w:rPr>
                <w:noProof/>
                <w:webHidden/>
              </w:rPr>
              <w:fldChar w:fldCharType="begin"/>
            </w:r>
            <w:r w:rsidR="004D7524">
              <w:rPr>
                <w:noProof/>
                <w:webHidden/>
              </w:rPr>
              <w:instrText xml:space="preserve"> PAGEREF _Toc2585499 \h </w:instrText>
            </w:r>
            <w:r w:rsidR="004D7524">
              <w:rPr>
                <w:noProof/>
                <w:webHidden/>
              </w:rPr>
            </w:r>
            <w:r w:rsidR="004D7524">
              <w:rPr>
                <w:noProof/>
                <w:webHidden/>
              </w:rPr>
              <w:fldChar w:fldCharType="separate"/>
            </w:r>
            <w:r w:rsidR="004D7524">
              <w:rPr>
                <w:noProof/>
                <w:webHidden/>
              </w:rPr>
              <w:t>10</w:t>
            </w:r>
            <w:r w:rsidR="004D7524">
              <w:rPr>
                <w:noProof/>
                <w:webHidden/>
              </w:rPr>
              <w:fldChar w:fldCharType="end"/>
            </w:r>
          </w:hyperlink>
        </w:p>
        <w:p w14:paraId="796D3C38" w14:textId="2FF6ED3B" w:rsidR="004D7524" w:rsidRDefault="006E10B8" w:rsidP="00A94FE1">
          <w:pPr>
            <w:pStyle w:val="TOC3"/>
            <w:jc w:val="both"/>
            <w:rPr>
              <w:rFonts w:asciiTheme="minorHAnsi" w:eastAsiaTheme="minorEastAsia" w:hAnsiTheme="minorHAnsi" w:cstheme="minorBidi"/>
              <w:noProof/>
            </w:rPr>
          </w:pPr>
          <w:hyperlink w:anchor="_Toc2585500" w:history="1">
            <w:r w:rsidR="004D7524" w:rsidRPr="00AF4B89">
              <w:rPr>
                <w:rStyle w:val="Hyperlink"/>
                <w:noProof/>
              </w:rPr>
              <w:t>4.2 Modify/Terminate User (Employee, Contractor, Service Providers acting on behalf of Queen’s) Access</w:t>
            </w:r>
            <w:r w:rsidR="004D7524">
              <w:rPr>
                <w:noProof/>
                <w:webHidden/>
              </w:rPr>
              <w:tab/>
            </w:r>
            <w:r w:rsidR="004D7524">
              <w:rPr>
                <w:noProof/>
                <w:webHidden/>
              </w:rPr>
              <w:fldChar w:fldCharType="begin"/>
            </w:r>
            <w:r w:rsidR="004D7524">
              <w:rPr>
                <w:noProof/>
                <w:webHidden/>
              </w:rPr>
              <w:instrText xml:space="preserve"> PAGEREF _Toc2585500 \h </w:instrText>
            </w:r>
            <w:r w:rsidR="004D7524">
              <w:rPr>
                <w:noProof/>
                <w:webHidden/>
              </w:rPr>
            </w:r>
            <w:r w:rsidR="004D7524">
              <w:rPr>
                <w:noProof/>
                <w:webHidden/>
              </w:rPr>
              <w:fldChar w:fldCharType="separate"/>
            </w:r>
            <w:r w:rsidR="004D7524">
              <w:rPr>
                <w:noProof/>
                <w:webHidden/>
              </w:rPr>
              <w:t>11</w:t>
            </w:r>
            <w:r w:rsidR="004D7524">
              <w:rPr>
                <w:noProof/>
                <w:webHidden/>
              </w:rPr>
              <w:fldChar w:fldCharType="end"/>
            </w:r>
          </w:hyperlink>
        </w:p>
        <w:p w14:paraId="6EAC3AF5" w14:textId="065EE8A9" w:rsidR="004D7524" w:rsidRDefault="006E10B8" w:rsidP="00A94FE1">
          <w:pPr>
            <w:pStyle w:val="TOC2"/>
            <w:tabs>
              <w:tab w:val="right" w:leader="dot" w:pos="9350"/>
            </w:tabs>
            <w:jc w:val="both"/>
            <w:rPr>
              <w:rFonts w:asciiTheme="minorHAnsi" w:eastAsiaTheme="minorEastAsia" w:hAnsiTheme="minorHAnsi" w:cstheme="minorBidi"/>
              <w:bCs w:val="0"/>
              <w:iCs w:val="0"/>
              <w:noProof/>
            </w:rPr>
          </w:pPr>
          <w:hyperlink w:anchor="_Toc2585501" w:history="1">
            <w:r w:rsidR="004D7524" w:rsidRPr="00AF4B89">
              <w:rPr>
                <w:rStyle w:val="Hyperlink"/>
                <w:noProof/>
              </w:rPr>
              <w:t>5.0 Incident Response</w:t>
            </w:r>
            <w:r w:rsidR="004D7524">
              <w:rPr>
                <w:noProof/>
                <w:webHidden/>
              </w:rPr>
              <w:tab/>
            </w:r>
            <w:r w:rsidR="004D7524">
              <w:rPr>
                <w:noProof/>
                <w:webHidden/>
              </w:rPr>
              <w:fldChar w:fldCharType="begin"/>
            </w:r>
            <w:r w:rsidR="004D7524">
              <w:rPr>
                <w:noProof/>
                <w:webHidden/>
              </w:rPr>
              <w:instrText xml:space="preserve"> PAGEREF _Toc2585501 \h </w:instrText>
            </w:r>
            <w:r w:rsidR="004D7524">
              <w:rPr>
                <w:noProof/>
                <w:webHidden/>
              </w:rPr>
            </w:r>
            <w:r w:rsidR="004D7524">
              <w:rPr>
                <w:noProof/>
                <w:webHidden/>
              </w:rPr>
              <w:fldChar w:fldCharType="separate"/>
            </w:r>
            <w:r w:rsidR="004D7524">
              <w:rPr>
                <w:noProof/>
                <w:webHidden/>
              </w:rPr>
              <w:t>12</w:t>
            </w:r>
            <w:r w:rsidR="004D7524">
              <w:rPr>
                <w:noProof/>
                <w:webHidden/>
              </w:rPr>
              <w:fldChar w:fldCharType="end"/>
            </w:r>
          </w:hyperlink>
        </w:p>
        <w:p w14:paraId="605ECAB4" w14:textId="7B3EBB3F" w:rsidR="004D7524" w:rsidRDefault="006E10B8" w:rsidP="00A94FE1">
          <w:pPr>
            <w:pStyle w:val="TOC2"/>
            <w:tabs>
              <w:tab w:val="right" w:leader="dot" w:pos="9350"/>
            </w:tabs>
            <w:jc w:val="both"/>
            <w:rPr>
              <w:rFonts w:asciiTheme="minorHAnsi" w:eastAsiaTheme="minorEastAsia" w:hAnsiTheme="minorHAnsi" w:cstheme="minorBidi"/>
              <w:bCs w:val="0"/>
              <w:iCs w:val="0"/>
              <w:noProof/>
            </w:rPr>
          </w:pPr>
          <w:hyperlink w:anchor="_Toc2585502" w:history="1">
            <w:r w:rsidR="004D7524" w:rsidRPr="00AF4B89">
              <w:rPr>
                <w:rStyle w:val="Hyperlink"/>
                <w:noProof/>
              </w:rPr>
              <w:t>6.0 Compliance Activities</w:t>
            </w:r>
            <w:r w:rsidR="004D7524">
              <w:rPr>
                <w:noProof/>
                <w:webHidden/>
              </w:rPr>
              <w:tab/>
            </w:r>
            <w:r w:rsidR="004D7524">
              <w:rPr>
                <w:noProof/>
                <w:webHidden/>
              </w:rPr>
              <w:fldChar w:fldCharType="begin"/>
            </w:r>
            <w:r w:rsidR="004D7524">
              <w:rPr>
                <w:noProof/>
                <w:webHidden/>
              </w:rPr>
              <w:instrText xml:space="preserve"> PAGEREF _Toc2585502 \h </w:instrText>
            </w:r>
            <w:r w:rsidR="004D7524">
              <w:rPr>
                <w:noProof/>
                <w:webHidden/>
              </w:rPr>
            </w:r>
            <w:r w:rsidR="004D7524">
              <w:rPr>
                <w:noProof/>
                <w:webHidden/>
              </w:rPr>
              <w:fldChar w:fldCharType="separate"/>
            </w:r>
            <w:r w:rsidR="004D7524">
              <w:rPr>
                <w:noProof/>
                <w:webHidden/>
              </w:rPr>
              <w:t>13</w:t>
            </w:r>
            <w:r w:rsidR="004D7524">
              <w:rPr>
                <w:noProof/>
                <w:webHidden/>
              </w:rPr>
              <w:fldChar w:fldCharType="end"/>
            </w:r>
          </w:hyperlink>
        </w:p>
        <w:p w14:paraId="2F93456A" w14:textId="43CB6C7D" w:rsidR="004D7524" w:rsidRDefault="006E10B8" w:rsidP="00A94FE1">
          <w:pPr>
            <w:pStyle w:val="TOC2"/>
            <w:tabs>
              <w:tab w:val="right" w:leader="dot" w:pos="9350"/>
            </w:tabs>
            <w:jc w:val="both"/>
            <w:rPr>
              <w:rFonts w:asciiTheme="minorHAnsi" w:eastAsiaTheme="minorEastAsia" w:hAnsiTheme="minorHAnsi" w:cstheme="minorBidi"/>
              <w:bCs w:val="0"/>
              <w:iCs w:val="0"/>
              <w:noProof/>
            </w:rPr>
          </w:pPr>
          <w:hyperlink w:anchor="_Toc2585503" w:history="1">
            <w:r w:rsidR="004D7524" w:rsidRPr="00AF4B89">
              <w:rPr>
                <w:rStyle w:val="Hyperlink"/>
                <w:noProof/>
              </w:rPr>
              <w:t>7.0 Definitions</w:t>
            </w:r>
            <w:r w:rsidR="004D7524">
              <w:rPr>
                <w:noProof/>
                <w:webHidden/>
              </w:rPr>
              <w:tab/>
            </w:r>
            <w:r w:rsidR="004D7524">
              <w:rPr>
                <w:noProof/>
                <w:webHidden/>
              </w:rPr>
              <w:fldChar w:fldCharType="begin"/>
            </w:r>
            <w:r w:rsidR="004D7524">
              <w:rPr>
                <w:noProof/>
                <w:webHidden/>
              </w:rPr>
              <w:instrText xml:space="preserve"> PAGEREF _Toc2585503 \h </w:instrText>
            </w:r>
            <w:r w:rsidR="004D7524">
              <w:rPr>
                <w:noProof/>
                <w:webHidden/>
              </w:rPr>
            </w:r>
            <w:r w:rsidR="004D7524">
              <w:rPr>
                <w:noProof/>
                <w:webHidden/>
              </w:rPr>
              <w:fldChar w:fldCharType="separate"/>
            </w:r>
            <w:r w:rsidR="004D7524">
              <w:rPr>
                <w:noProof/>
                <w:webHidden/>
              </w:rPr>
              <w:t>13</w:t>
            </w:r>
            <w:r w:rsidR="004D7524">
              <w:rPr>
                <w:noProof/>
                <w:webHidden/>
              </w:rPr>
              <w:fldChar w:fldCharType="end"/>
            </w:r>
          </w:hyperlink>
        </w:p>
        <w:p w14:paraId="2127A6B6" w14:textId="3DE70855" w:rsidR="00DA1DD4" w:rsidRDefault="00DA1DD4" w:rsidP="00A94FE1">
          <w:pPr>
            <w:jc w:val="both"/>
            <w:rPr>
              <w:b/>
              <w:noProof/>
            </w:rPr>
          </w:pPr>
          <w:r>
            <w:rPr>
              <w:b/>
              <w:noProof/>
            </w:rPr>
            <w:fldChar w:fldCharType="end"/>
          </w:r>
        </w:p>
      </w:sdtContent>
    </w:sdt>
    <w:p w14:paraId="639B56D0" w14:textId="51CF84D4" w:rsidR="00CB15F5" w:rsidRPr="00FB67FF" w:rsidRDefault="00CB15F5" w:rsidP="00A94FE1">
      <w:pPr>
        <w:pStyle w:val="Heading1"/>
        <w:jc w:val="both"/>
        <w:rPr>
          <w:b/>
        </w:rPr>
      </w:pPr>
      <w:bookmarkStart w:id="1" w:name="_Toc2585482"/>
      <w:r w:rsidRPr="00FB67FF">
        <w:rPr>
          <w:b/>
        </w:rPr>
        <w:t>Procedure</w:t>
      </w:r>
      <w:bookmarkEnd w:id="1"/>
    </w:p>
    <w:p w14:paraId="1A3C9BA1" w14:textId="3795494B" w:rsidR="00CB15F5" w:rsidRPr="00CB15F5" w:rsidRDefault="00CB15F5" w:rsidP="00A94FE1">
      <w:pPr>
        <w:pStyle w:val="Heading2"/>
        <w:jc w:val="both"/>
        <w:rPr>
          <w:rFonts w:ascii="Times" w:hAnsi="Times"/>
          <w:szCs w:val="20"/>
        </w:rPr>
      </w:pPr>
      <w:bookmarkStart w:id="2" w:name="_Toc2585483"/>
      <w:r>
        <w:t xml:space="preserve">1.0 </w:t>
      </w:r>
      <w:r w:rsidRPr="00CB15F5">
        <w:t>Approved Methods for Accepting, Storing, and Disposing of Payment Card Data</w:t>
      </w:r>
      <w:bookmarkEnd w:id="2"/>
    </w:p>
    <w:p w14:paraId="44D30F4A" w14:textId="28C31281" w:rsidR="00CB15F5" w:rsidRDefault="00CB15F5" w:rsidP="00A94FE1">
      <w:pPr>
        <w:pStyle w:val="Heading3"/>
        <w:jc w:val="both"/>
      </w:pPr>
      <w:bookmarkStart w:id="3" w:name="_Toc2585484"/>
      <w:r>
        <w:t>1.1 Accepting Electronic Media</w:t>
      </w:r>
      <w:bookmarkEnd w:id="3"/>
    </w:p>
    <w:p w14:paraId="4E183A8E" w14:textId="6D036F1F" w:rsidR="00CB15F5" w:rsidRDefault="00CB15F5" w:rsidP="00A94FE1">
      <w:pPr>
        <w:jc w:val="both"/>
        <w:rPr>
          <w:b/>
          <w:i/>
        </w:rPr>
      </w:pPr>
      <w:r w:rsidRPr="00E97856">
        <w:t xml:space="preserve">Merchants </w:t>
      </w:r>
      <w:proofErr w:type="gramStart"/>
      <w:r w:rsidRPr="00E97856">
        <w:t>are able to</w:t>
      </w:r>
      <w:proofErr w:type="gramEnd"/>
      <w:r w:rsidRPr="00E97856">
        <w:t xml:space="preserve"> accept payment card data electronically if it is received in any of the following ways:</w:t>
      </w:r>
    </w:p>
    <w:p w14:paraId="7F7A82B3" w14:textId="77777777" w:rsidR="00CB15F5" w:rsidRPr="00FB67FF" w:rsidRDefault="00CB15F5" w:rsidP="00A94FE1">
      <w:pPr>
        <w:pStyle w:val="ListParagraph"/>
        <w:numPr>
          <w:ilvl w:val="0"/>
          <w:numId w:val="36"/>
        </w:numPr>
        <w:jc w:val="both"/>
        <w:rPr>
          <w:b/>
          <w:i/>
        </w:rPr>
      </w:pPr>
      <w:r>
        <w:t>In person:</w:t>
      </w:r>
    </w:p>
    <w:p w14:paraId="19F50BBC" w14:textId="6BC8DEE0" w:rsidR="00CB15F5" w:rsidRPr="00FB67FF" w:rsidRDefault="00CB15F5" w:rsidP="00A94FE1">
      <w:pPr>
        <w:pStyle w:val="ListParagraph"/>
        <w:numPr>
          <w:ilvl w:val="1"/>
          <w:numId w:val="36"/>
        </w:numPr>
        <w:jc w:val="both"/>
        <w:rPr>
          <w:b/>
          <w:i/>
        </w:rPr>
      </w:pPr>
      <w:r>
        <w:t>Where the customer enters their data directly into a PCI PTS compliant and Queen’s approved POS device (either purchased by the merchant or leased from the acquirer)</w:t>
      </w:r>
      <w:r w:rsidR="00F505B1">
        <w:t>.</w:t>
      </w:r>
    </w:p>
    <w:p w14:paraId="68CFE4C4" w14:textId="427C0D10" w:rsidR="00CB15F5" w:rsidRPr="00FB67FF" w:rsidRDefault="00CB15F5" w:rsidP="00A94FE1">
      <w:pPr>
        <w:pStyle w:val="ListParagraph"/>
        <w:numPr>
          <w:ilvl w:val="1"/>
          <w:numId w:val="36"/>
        </w:numPr>
        <w:jc w:val="both"/>
        <w:rPr>
          <w:b/>
          <w:i/>
        </w:rPr>
      </w:pPr>
      <w:r>
        <w:t>W</w:t>
      </w:r>
      <w:r w:rsidRPr="003A4471">
        <w:t xml:space="preserve">here </w:t>
      </w:r>
      <w:r>
        <w:t>a trained Queen’s representative</w:t>
      </w:r>
      <w:r w:rsidRPr="003A4471">
        <w:t xml:space="preserve"> enters the data into the </w:t>
      </w:r>
      <w:r>
        <w:t xml:space="preserve">payment </w:t>
      </w:r>
      <w:r w:rsidRPr="003A4471">
        <w:t>application or approved payment gateway via a PCI terminal.</w:t>
      </w:r>
    </w:p>
    <w:p w14:paraId="0A881942" w14:textId="0F446F73" w:rsidR="00CB15F5" w:rsidRPr="00FB67FF" w:rsidRDefault="00CB15F5" w:rsidP="00A94FE1">
      <w:pPr>
        <w:pStyle w:val="ListParagraph"/>
        <w:numPr>
          <w:ilvl w:val="0"/>
          <w:numId w:val="36"/>
        </w:numPr>
        <w:jc w:val="both"/>
        <w:rPr>
          <w:b/>
          <w:i/>
        </w:rPr>
      </w:pPr>
      <w:r>
        <w:t>Phone</w:t>
      </w:r>
      <w:r w:rsidR="00942B77">
        <w:t>*</w:t>
      </w:r>
      <w:r>
        <w:t>:</w:t>
      </w:r>
    </w:p>
    <w:p w14:paraId="223DBB97" w14:textId="00FEEC69" w:rsidR="00CB15F5" w:rsidRPr="00FB67FF" w:rsidRDefault="00CB15F5" w:rsidP="00A94FE1">
      <w:pPr>
        <w:pStyle w:val="ListParagraph"/>
        <w:numPr>
          <w:ilvl w:val="1"/>
          <w:numId w:val="36"/>
        </w:numPr>
        <w:jc w:val="both"/>
        <w:rPr>
          <w:b/>
          <w:i/>
        </w:rPr>
      </w:pPr>
      <w:r>
        <w:t>Where the customer provides their information to a trained Queen’s representative who processes it immediately using either a PCI terminal or a PCI PTS compliant POS device.</w:t>
      </w:r>
    </w:p>
    <w:p w14:paraId="355255B1" w14:textId="77777777" w:rsidR="00CB15F5" w:rsidRPr="00FB67FF" w:rsidRDefault="00CB15F5" w:rsidP="00A94FE1">
      <w:pPr>
        <w:pStyle w:val="ListParagraph"/>
        <w:numPr>
          <w:ilvl w:val="0"/>
          <w:numId w:val="36"/>
        </w:numPr>
        <w:jc w:val="both"/>
        <w:rPr>
          <w:b/>
          <w:i/>
        </w:rPr>
      </w:pPr>
      <w:r>
        <w:t>Online:</w:t>
      </w:r>
    </w:p>
    <w:p w14:paraId="32AE25DE" w14:textId="45D88B31" w:rsidR="00CB15F5" w:rsidRPr="00FB67FF" w:rsidRDefault="00CB15F5" w:rsidP="00A94FE1">
      <w:pPr>
        <w:pStyle w:val="ListParagraph"/>
        <w:numPr>
          <w:ilvl w:val="1"/>
          <w:numId w:val="36"/>
        </w:numPr>
        <w:jc w:val="both"/>
        <w:rPr>
          <w:b/>
          <w:i/>
        </w:rPr>
      </w:pPr>
      <w:r>
        <w:t>Where the customer enters their payment card data directly into the e-commerce payment gateway.</w:t>
      </w:r>
    </w:p>
    <w:p w14:paraId="5DEF82D3" w14:textId="7B0D165A" w:rsidR="00CB15F5" w:rsidRPr="00FB67FF" w:rsidRDefault="00CB15F5" w:rsidP="00A94FE1">
      <w:pPr>
        <w:pStyle w:val="ListParagraph"/>
        <w:numPr>
          <w:ilvl w:val="1"/>
          <w:numId w:val="36"/>
        </w:numPr>
        <w:jc w:val="both"/>
        <w:rPr>
          <w:b/>
          <w:i/>
        </w:rPr>
      </w:pPr>
      <w:r>
        <w:t>Where the customer enters their payment card data directly into a payment gateway as part of a</w:t>
      </w:r>
      <w:r w:rsidR="00DA29B9">
        <w:t xml:space="preserve"> P2PE solution or</w:t>
      </w:r>
      <w:r>
        <w:t xml:space="preserve"> PA DSS certified payment application.</w:t>
      </w:r>
    </w:p>
    <w:p w14:paraId="487AB5F0" w14:textId="77777777" w:rsidR="00CB15F5" w:rsidRPr="00FB67FF" w:rsidRDefault="00CB15F5" w:rsidP="00A94FE1">
      <w:pPr>
        <w:pStyle w:val="ListParagraph"/>
        <w:numPr>
          <w:ilvl w:val="0"/>
          <w:numId w:val="36"/>
        </w:numPr>
        <w:jc w:val="both"/>
        <w:rPr>
          <w:b/>
          <w:i/>
        </w:rPr>
      </w:pPr>
      <w:r>
        <w:t>3</w:t>
      </w:r>
      <w:r w:rsidRPr="00FB67FF">
        <w:rPr>
          <w:vertAlign w:val="superscript"/>
        </w:rPr>
        <w:t>rd</w:t>
      </w:r>
      <w:r>
        <w:t xml:space="preserve"> Party Service Provider</w:t>
      </w:r>
    </w:p>
    <w:p w14:paraId="26A29780" w14:textId="77777777" w:rsidR="00CB15F5" w:rsidRPr="00FB67FF" w:rsidRDefault="00CB15F5" w:rsidP="00A94FE1">
      <w:pPr>
        <w:pStyle w:val="ListParagraph"/>
        <w:numPr>
          <w:ilvl w:val="1"/>
          <w:numId w:val="36"/>
        </w:numPr>
        <w:jc w:val="both"/>
        <w:rPr>
          <w:b/>
          <w:i/>
        </w:rPr>
      </w:pPr>
      <w:r>
        <w:t>Where the customer enters their payment card data directly into the service provider’s payment gateway.</w:t>
      </w:r>
    </w:p>
    <w:p w14:paraId="469ABEC6" w14:textId="1E91BF7E" w:rsidR="00CB15F5" w:rsidRDefault="00CB15F5" w:rsidP="00A94FE1">
      <w:pPr>
        <w:jc w:val="both"/>
      </w:pPr>
    </w:p>
    <w:p w14:paraId="586BFD31" w14:textId="41DD3863" w:rsidR="00D47990" w:rsidRPr="00D47990" w:rsidRDefault="00D47990" w:rsidP="00A94FE1">
      <w:pPr>
        <w:jc w:val="both"/>
      </w:pPr>
    </w:p>
    <w:p w14:paraId="5EC903E8" w14:textId="60A7C23B" w:rsidR="00D47990" w:rsidRDefault="00D47990" w:rsidP="00A94FE1">
      <w:pPr>
        <w:jc w:val="both"/>
      </w:pPr>
    </w:p>
    <w:p w14:paraId="1ED3414E" w14:textId="77777777" w:rsidR="00D47990" w:rsidRPr="00D47990" w:rsidRDefault="00D47990" w:rsidP="00A94FE1">
      <w:pPr>
        <w:jc w:val="both"/>
      </w:pPr>
    </w:p>
    <w:p w14:paraId="39959164" w14:textId="77777777" w:rsidR="00CB15F5" w:rsidRDefault="00CB15F5" w:rsidP="00A94FE1">
      <w:pPr>
        <w:jc w:val="both"/>
      </w:pPr>
      <w:r>
        <w:object w:dxaOrig="12045" w:dyaOrig="8520" w14:anchorId="47316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339.75pt" o:ole="">
            <v:imagedata r:id="rId12" o:title=""/>
          </v:shape>
          <o:OLEObject Type="Embed" ProgID="Visio.Drawing.15" ShapeID="_x0000_i1025" DrawAspect="Content" ObjectID="_1740325564" r:id="rId13"/>
        </w:object>
      </w:r>
    </w:p>
    <w:p w14:paraId="39F76C8A" w14:textId="77777777" w:rsidR="00CB15F5" w:rsidRDefault="00CB15F5" w:rsidP="00A94FE1">
      <w:pPr>
        <w:jc w:val="both"/>
      </w:pPr>
    </w:p>
    <w:p w14:paraId="640BC159" w14:textId="77777777" w:rsidR="00CB15F5" w:rsidRDefault="00CB15F5" w:rsidP="00A94FE1">
      <w:pPr>
        <w:jc w:val="both"/>
        <w:rPr>
          <w:b/>
          <w:i/>
        </w:rPr>
      </w:pPr>
      <w:r>
        <w:t>*</w:t>
      </w:r>
      <w:r w:rsidRPr="00E97856">
        <w:t>If telephone processing involves technologies such as VOIP, wireless headsets, etc., it needs to be approved by the PCI Coordinator prior to use.</w:t>
      </w:r>
    </w:p>
    <w:p w14:paraId="12E6C635" w14:textId="77777777" w:rsidR="00CB15F5" w:rsidRDefault="00CB15F5" w:rsidP="00A94FE1">
      <w:pPr>
        <w:jc w:val="both"/>
        <w:rPr>
          <w:b/>
          <w:i/>
        </w:rPr>
      </w:pPr>
      <w:r>
        <w:t>Merchants must ensure the security of electronic media. Remember to log off when away from them. If using a PCI terminal, log out as soon as transactions have been completed.</w:t>
      </w:r>
    </w:p>
    <w:p w14:paraId="0B754A64" w14:textId="344318F4" w:rsidR="00CB15F5" w:rsidRDefault="00CB15F5" w:rsidP="00A94FE1">
      <w:pPr>
        <w:pStyle w:val="Heading3"/>
        <w:jc w:val="both"/>
      </w:pPr>
      <w:bookmarkStart w:id="4" w:name="_Toc2585485"/>
      <w:r>
        <w:t>1.2 Approved Methods of Electronic Media Storage</w:t>
      </w:r>
      <w:bookmarkEnd w:id="4"/>
    </w:p>
    <w:p w14:paraId="31EA9401" w14:textId="77777777" w:rsidR="00CB15F5" w:rsidRDefault="00CB15F5" w:rsidP="00A94FE1">
      <w:pPr>
        <w:jc w:val="both"/>
        <w:rPr>
          <w:b/>
          <w:i/>
        </w:rPr>
      </w:pPr>
      <w:r w:rsidRPr="00E97856">
        <w:t>Payment card data is NEVER to be stored locally in any form. It should never be stored on Queen’s internal or external hard drives, solid state or USB “flash” drives, memory cards, smartphones, tablets, CDs, DVDs, or Blu-ray discs.</w:t>
      </w:r>
    </w:p>
    <w:p w14:paraId="29B2D9C7" w14:textId="77777777" w:rsidR="00CB15F5" w:rsidRDefault="00CB15F5" w:rsidP="00A94FE1">
      <w:pPr>
        <w:jc w:val="both"/>
        <w:rPr>
          <w:b/>
          <w:i/>
        </w:rPr>
      </w:pPr>
      <w:r>
        <w:t xml:space="preserve">Any merchant using a POS device must ensure that it is stored in a secure and locked location when not in use. </w:t>
      </w:r>
    </w:p>
    <w:p w14:paraId="7B3DA3BB" w14:textId="77777777" w:rsidR="00CB15F5" w:rsidRDefault="00CB15F5" w:rsidP="00A94FE1">
      <w:pPr>
        <w:jc w:val="both"/>
        <w:rPr>
          <w:b/>
          <w:i/>
        </w:rPr>
      </w:pPr>
      <w:r>
        <w:t>Approved acquirers, payment applications, and/or service providers may store payment card data on behalf of Queen’s. It must be encrypted, masked, or truncated. Acquirers, payment applications, and/or service providers storing data on behalf of Queen’s must adhere to the PCI DSS and have signed a contract indemnifying Queen’s for all costs related to a potential or actual security breach associated with the storage of payment card data.</w:t>
      </w:r>
    </w:p>
    <w:p w14:paraId="1FB9D94A" w14:textId="3C15D2FB" w:rsidR="00CB15F5" w:rsidRDefault="00FB67FF" w:rsidP="00A94FE1">
      <w:pPr>
        <w:pStyle w:val="Heading3"/>
        <w:jc w:val="both"/>
      </w:pPr>
      <w:bookmarkStart w:id="5" w:name="_Toc2585486"/>
      <w:r>
        <w:t>1.3</w:t>
      </w:r>
      <w:r w:rsidR="00CB15F5" w:rsidRPr="00CB15F5">
        <w:t xml:space="preserve"> Equipment Servicing, Trade-ins &amp; Disposal</w:t>
      </w:r>
      <w:bookmarkEnd w:id="5"/>
    </w:p>
    <w:p w14:paraId="44D4E738" w14:textId="77777777" w:rsidR="00CB15F5" w:rsidRDefault="00CB15F5" w:rsidP="00A94FE1">
      <w:pPr>
        <w:jc w:val="both"/>
        <w:rPr>
          <w:b/>
          <w:i/>
        </w:rPr>
      </w:pPr>
      <w:r w:rsidRPr="00631B14">
        <w:t>N</w:t>
      </w:r>
      <w:r>
        <w:t>otify the PCI Coordinator if an</w:t>
      </w:r>
      <w:r w:rsidRPr="00631B14">
        <w:t xml:space="preserve"> </w:t>
      </w:r>
      <w:r>
        <w:t xml:space="preserve">acquirer leased </w:t>
      </w:r>
      <w:r w:rsidRPr="00631B14">
        <w:t>computer, communic</w:t>
      </w:r>
      <w:r>
        <w:t>ations equipment, or POS device</w:t>
      </w:r>
      <w:r w:rsidRPr="00631B14">
        <w:t xml:space="preserve"> involved in the payment stream needs to be sent to for trade-in, servicing, or disposal.</w:t>
      </w:r>
      <w:r>
        <w:t xml:space="preserve">  </w:t>
      </w:r>
    </w:p>
    <w:p w14:paraId="2D6E6DD5" w14:textId="77777777" w:rsidR="00CB15F5" w:rsidRDefault="00CB15F5" w:rsidP="00A94FE1">
      <w:pPr>
        <w:jc w:val="both"/>
        <w:rPr>
          <w:b/>
          <w:i/>
        </w:rPr>
      </w:pPr>
      <w:r>
        <w:lastRenderedPageBreak/>
        <w:t>If the m</w:t>
      </w:r>
      <w:r w:rsidRPr="00631B14">
        <w:t>erchant is looking to dispose of a merchant-purchased POS device</w:t>
      </w:r>
      <w:r>
        <w:t xml:space="preserve"> (not acquirer leased)</w:t>
      </w:r>
      <w:r w:rsidRPr="00631B14">
        <w:t>, it will need to be physically destroyed by a bonded disposal vendor that issue</w:t>
      </w:r>
      <w:r>
        <w:t>s a “Certificate of Destruction</w:t>
      </w:r>
      <w:r w:rsidRPr="00631B14">
        <w:t>”</w:t>
      </w:r>
      <w:r>
        <w:t xml:space="preserve"> as per the Queen’s Sustainability e-waste procedure. </w:t>
      </w:r>
    </w:p>
    <w:p w14:paraId="219300BF" w14:textId="77777777" w:rsidR="00CB15F5" w:rsidRDefault="00CB15F5" w:rsidP="00A94FE1">
      <w:pPr>
        <w:jc w:val="both"/>
        <w:rPr>
          <w:b/>
          <w:i/>
        </w:rPr>
      </w:pPr>
      <w:r w:rsidRPr="00631B14">
        <w:t xml:space="preserve">Merchants are responsible for managing equipment for any specialized payment applications or service providers that they </w:t>
      </w:r>
      <w:r>
        <w:t>receive a Payment Card Acceptance Policy Exemption Approval for</w:t>
      </w:r>
      <w:r w:rsidRPr="00631B14">
        <w:t>. This servicing and disposal should be coordinated directly with the provider</w:t>
      </w:r>
      <w:r>
        <w:t xml:space="preserve"> and adhere to applicable Queen’s policies.</w:t>
      </w:r>
    </w:p>
    <w:p w14:paraId="01A1E49D" w14:textId="77777777" w:rsidR="00CB15F5" w:rsidRDefault="00CB15F5" w:rsidP="00A94FE1">
      <w:pPr>
        <w:jc w:val="both"/>
        <w:rPr>
          <w:b/>
          <w:i/>
        </w:rPr>
      </w:pPr>
      <w:r>
        <w:t>In all other instances, the merchant may contact Queen’s Sustainability to provide guidance for the destruction of electronic media.</w:t>
      </w:r>
    </w:p>
    <w:p w14:paraId="0C6FBAA6" w14:textId="43EA59C4" w:rsidR="00CB15F5" w:rsidRDefault="00CB15F5" w:rsidP="00A94FE1">
      <w:pPr>
        <w:pStyle w:val="Heading3"/>
        <w:jc w:val="both"/>
      </w:pPr>
      <w:bookmarkStart w:id="6" w:name="_Toc2585487"/>
      <w:r>
        <w:t xml:space="preserve">1.4 </w:t>
      </w:r>
      <w:r w:rsidRPr="00CB15F5">
        <w:t>Electronic Media Records Retention</w:t>
      </w:r>
      <w:bookmarkEnd w:id="6"/>
    </w:p>
    <w:p w14:paraId="4C5C96D9" w14:textId="2C0DF222" w:rsidR="00CB15F5" w:rsidRPr="00EE40C4" w:rsidRDefault="00CB15F5" w:rsidP="00A94FE1">
      <w:pPr>
        <w:jc w:val="both"/>
      </w:pPr>
      <w:r>
        <w:t>Merchants must e</w:t>
      </w:r>
      <w:r w:rsidRPr="00EC7924">
        <w:t xml:space="preserve">nsure that a record is kept of </w:t>
      </w:r>
      <w:r>
        <w:t>every</w:t>
      </w:r>
      <w:r w:rsidRPr="00EC7924">
        <w:t xml:space="preserve"> transaction</w:t>
      </w:r>
      <w:r>
        <w:t xml:space="preserve">, regardless of </w:t>
      </w:r>
      <w:r w:rsidR="004D6191">
        <w:t>whether</w:t>
      </w:r>
      <w:r>
        <w:t xml:space="preserve"> it is approved or declined</w:t>
      </w:r>
      <w:r w:rsidRPr="00EC7924">
        <w:t xml:space="preserve">. The record should include the date the payment card data was processed, how the transaction was processed (e-commerce, PCI terminal, POS device, etc.), who processed it (customer or an employee, contractor, or service provider operating on behalf of Queen’s), </w:t>
      </w:r>
      <w:r>
        <w:t xml:space="preserve">the amount, </w:t>
      </w:r>
      <w:r w:rsidRPr="00EC7924">
        <w:t xml:space="preserve">and the brand of the card. This record must be retained for at least </w:t>
      </w:r>
      <w:r>
        <w:t>two years</w:t>
      </w:r>
      <w:r w:rsidRPr="00EC7924">
        <w:t xml:space="preserve"> and in accordance with the </w:t>
      </w:r>
      <w:hyperlink r:id="rId14" w:history="1">
        <w:r w:rsidRPr="0074500B">
          <w:rPr>
            <w:rStyle w:val="Hyperlink"/>
          </w:rPr>
          <w:t>Records Retention Schedules</w:t>
        </w:r>
      </w:hyperlink>
      <w:r w:rsidRPr="00EC7924">
        <w:t>.</w:t>
      </w:r>
    </w:p>
    <w:p w14:paraId="7760E845" w14:textId="20312EF7" w:rsidR="00CB15F5" w:rsidRDefault="00CB15F5" w:rsidP="00A94FE1">
      <w:pPr>
        <w:pStyle w:val="Heading3"/>
        <w:jc w:val="both"/>
      </w:pPr>
      <w:bookmarkStart w:id="7" w:name="_Toc2585488"/>
      <w:r>
        <w:t>1.5 Approved Methods of Physical Media Acceptance</w:t>
      </w:r>
      <w:bookmarkEnd w:id="7"/>
    </w:p>
    <w:p w14:paraId="1ACEC58C" w14:textId="05291371" w:rsidR="00CB15F5" w:rsidRDefault="00216FA8" w:rsidP="00A94FE1">
      <w:pPr>
        <w:jc w:val="both"/>
        <w:rPr>
          <w:b/>
          <w:i/>
        </w:rPr>
      </w:pPr>
      <w:r>
        <w:t>The only physical media the m</w:t>
      </w:r>
      <w:r w:rsidR="00CB15F5" w:rsidRPr="00374921">
        <w:t>erchant is permitted to use is paper. This media may have the cardholder’s name, the full PAN, and the expiration date if it is received in any of the following ways:</w:t>
      </w:r>
    </w:p>
    <w:p w14:paraId="24D11978" w14:textId="77777777" w:rsidR="00CB15F5" w:rsidRPr="00573EAF" w:rsidRDefault="00CB15F5" w:rsidP="00A94FE1">
      <w:pPr>
        <w:pStyle w:val="ListParagraph"/>
        <w:numPr>
          <w:ilvl w:val="0"/>
          <w:numId w:val="36"/>
        </w:numPr>
        <w:jc w:val="both"/>
      </w:pPr>
      <w:r>
        <w:t>MOTO:</w:t>
      </w:r>
    </w:p>
    <w:p w14:paraId="04CACEB7" w14:textId="77777777" w:rsidR="00CB15F5" w:rsidRPr="00573EAF" w:rsidRDefault="00CB15F5" w:rsidP="00A94FE1">
      <w:pPr>
        <w:pStyle w:val="ListParagraph"/>
        <w:numPr>
          <w:ilvl w:val="1"/>
          <w:numId w:val="36"/>
        </w:numPr>
        <w:jc w:val="both"/>
      </w:pPr>
      <w:r>
        <w:t xml:space="preserve">Where the customer providers their payment card data </w:t>
      </w:r>
      <w:r w:rsidRPr="00E97856">
        <w:t>via mail (not email) on an authorized Queen’s form. The form should have t</w:t>
      </w:r>
      <w:r>
        <w:t>he word CONFIDENTIAL at the top and contain a pattern or colouring to make it easily identifiable.</w:t>
      </w:r>
    </w:p>
    <w:p w14:paraId="7368E5D8" w14:textId="77777777" w:rsidR="00CB15F5" w:rsidRPr="00573EAF" w:rsidRDefault="00CB15F5" w:rsidP="00A94FE1">
      <w:pPr>
        <w:pStyle w:val="ListParagraph"/>
        <w:numPr>
          <w:ilvl w:val="0"/>
          <w:numId w:val="36"/>
        </w:numPr>
        <w:jc w:val="both"/>
      </w:pPr>
      <w:r>
        <w:t>Fax:</w:t>
      </w:r>
    </w:p>
    <w:p w14:paraId="1A46857C" w14:textId="020F298A" w:rsidR="00CB15F5" w:rsidRPr="00573EAF" w:rsidRDefault="00CB15F5" w:rsidP="00A94FE1">
      <w:pPr>
        <w:pStyle w:val="ListParagraph"/>
        <w:numPr>
          <w:ilvl w:val="1"/>
          <w:numId w:val="36"/>
        </w:numPr>
        <w:jc w:val="both"/>
      </w:pPr>
      <w:r>
        <w:t>Where the customer provides their payment card data via facsimile</w:t>
      </w:r>
      <w:r w:rsidRPr="00374921">
        <w:t xml:space="preserve"> on an authorized Queen’s form. The form should have the word CONFIDENTIAL at the top</w:t>
      </w:r>
      <w:r>
        <w:t xml:space="preserve"> and contain a patter</w:t>
      </w:r>
      <w:r w:rsidR="00F505B1">
        <w:t>n</w:t>
      </w:r>
      <w:r>
        <w:t xml:space="preserve"> to make it easily identifiable</w:t>
      </w:r>
      <w:r w:rsidRPr="00374921">
        <w:t>. The fax machine must be connected through an analog phone line (never a computer network), located in a secure environment, and have access restricted. If the fax stores information in memory, it must be protected by a security code and a procedure must be in place to immediately delete the memory once the document is printed. Furthermore, the ability to send or receive payment card data by facsimile which is then converted to email is not allowed.</w:t>
      </w:r>
    </w:p>
    <w:p w14:paraId="1E7B9CD2" w14:textId="77777777" w:rsidR="00CB15F5" w:rsidRPr="00374921" w:rsidRDefault="00CB15F5" w:rsidP="00A94FE1">
      <w:pPr>
        <w:jc w:val="both"/>
      </w:pPr>
    </w:p>
    <w:p w14:paraId="073BF5AA" w14:textId="77777777" w:rsidR="00CB15F5" w:rsidRDefault="00CB15F5" w:rsidP="00A94FE1">
      <w:pPr>
        <w:jc w:val="both"/>
        <w:rPr>
          <w:b/>
          <w:i/>
        </w:rPr>
      </w:pPr>
      <w:r>
        <w:object w:dxaOrig="7995" w:dyaOrig="11160" w14:anchorId="052941D2">
          <v:shape id="_x0000_i1026" type="#_x0000_t75" style="width:277.5pt;height:390.75pt" o:ole="">
            <v:imagedata r:id="rId15" o:title=""/>
          </v:shape>
          <o:OLEObject Type="Embed" ProgID="Visio.Drawing.15" ShapeID="_x0000_i1026" DrawAspect="Content" ObjectID="_1740325565" r:id="rId16"/>
        </w:object>
      </w:r>
    </w:p>
    <w:p w14:paraId="6117B423" w14:textId="77777777" w:rsidR="00CB15F5" w:rsidRDefault="00CB15F5" w:rsidP="00A94FE1">
      <w:pPr>
        <w:jc w:val="both"/>
        <w:rPr>
          <w:b/>
          <w:i/>
        </w:rPr>
      </w:pPr>
      <w:r>
        <w:t>*</w:t>
      </w:r>
      <w:r w:rsidRPr="00374921">
        <w:t>The card verification value (also known as CVD, CVN, CVV, CVV2, CVC) is NEVER to be written down in any form. If this information is provided it must be destroyed immediately as per the destruction procedures below.</w:t>
      </w:r>
    </w:p>
    <w:p w14:paraId="2B2EFDF2" w14:textId="77777777" w:rsidR="00CB15F5" w:rsidRDefault="00CB15F5" w:rsidP="00A94FE1">
      <w:pPr>
        <w:jc w:val="both"/>
        <w:rPr>
          <w:b/>
          <w:i/>
        </w:rPr>
      </w:pPr>
      <w:r>
        <w:t>**</w:t>
      </w:r>
      <w:r w:rsidRPr="00E97856">
        <w:t>If telephone processing involves technologies such as VOIP, wireless headsets, etc., it needs to be approved by the PCI Coordinator prior to use</w:t>
      </w:r>
      <w:r>
        <w:t>.</w:t>
      </w:r>
    </w:p>
    <w:p w14:paraId="1E25D804" w14:textId="77777777" w:rsidR="00CB15F5" w:rsidRDefault="00CB15F5" w:rsidP="00A94FE1">
      <w:pPr>
        <w:jc w:val="both"/>
        <w:rPr>
          <w:b/>
          <w:i/>
        </w:rPr>
      </w:pPr>
      <w:r>
        <w:t>***Processing using a fax machine must be approved by the PCI Coordinator prior to use.</w:t>
      </w:r>
    </w:p>
    <w:p w14:paraId="30A90006" w14:textId="29AF988F" w:rsidR="00CB15F5" w:rsidRDefault="00C602CB" w:rsidP="00A94FE1">
      <w:pPr>
        <w:jc w:val="both"/>
        <w:rPr>
          <w:b/>
          <w:i/>
        </w:rPr>
      </w:pPr>
      <w:r>
        <w:t>The m</w:t>
      </w:r>
      <w:r w:rsidR="00CB15F5" w:rsidRPr="00374921">
        <w:t>erchant is responsible for the chain of custody for any payment card data that they accept by paper. Custody transfer via a bonded courier is permitted.</w:t>
      </w:r>
    </w:p>
    <w:p w14:paraId="73658FAD" w14:textId="77777777" w:rsidR="00CB15F5" w:rsidRDefault="00CB15F5" w:rsidP="00A94FE1">
      <w:pPr>
        <w:jc w:val="both"/>
        <w:rPr>
          <w:b/>
          <w:i/>
        </w:rPr>
      </w:pPr>
      <w:r w:rsidRPr="00374921">
        <w:t>Payment card information is never to be received via end user messaging such as voic</w:t>
      </w:r>
      <w:r>
        <w:t>email, e-mail, or text message.</w:t>
      </w:r>
    </w:p>
    <w:p w14:paraId="67504417" w14:textId="0C4644E0" w:rsidR="00CB15F5" w:rsidRDefault="00CB15F5" w:rsidP="00A94FE1">
      <w:pPr>
        <w:pStyle w:val="Heading3"/>
        <w:jc w:val="both"/>
      </w:pPr>
      <w:bookmarkStart w:id="8" w:name="_Toc2585489"/>
      <w:r>
        <w:t>1.6 Physical Media Storage</w:t>
      </w:r>
      <w:bookmarkEnd w:id="8"/>
    </w:p>
    <w:p w14:paraId="5E32CCA9" w14:textId="77777777" w:rsidR="00CB15F5" w:rsidRDefault="00CB15F5" w:rsidP="00A94FE1">
      <w:pPr>
        <w:jc w:val="both"/>
        <w:rPr>
          <w:i/>
        </w:rPr>
      </w:pPr>
      <w:r>
        <w:t>Paper physical media will be stored in a secured and locked cabinet in a restricted access area to prevent unauthorized access. It may not be retained either:</w:t>
      </w:r>
    </w:p>
    <w:p w14:paraId="50425063" w14:textId="77777777" w:rsidR="00CB15F5" w:rsidRPr="000C19BF" w:rsidRDefault="00CB15F5" w:rsidP="00A94FE1">
      <w:pPr>
        <w:pStyle w:val="ListParagraph"/>
        <w:numPr>
          <w:ilvl w:val="0"/>
          <w:numId w:val="37"/>
        </w:numPr>
        <w:jc w:val="both"/>
        <w:rPr>
          <w:i/>
        </w:rPr>
      </w:pPr>
      <w:r>
        <w:t>Once the transaction has been completed OR</w:t>
      </w:r>
    </w:p>
    <w:p w14:paraId="1B12C07B" w14:textId="77777777" w:rsidR="00CB15F5" w:rsidRPr="000C19BF" w:rsidRDefault="00CB15F5" w:rsidP="00A94FE1">
      <w:pPr>
        <w:pStyle w:val="ListParagraph"/>
        <w:numPr>
          <w:ilvl w:val="0"/>
          <w:numId w:val="37"/>
        </w:numPr>
        <w:jc w:val="both"/>
        <w:rPr>
          <w:i/>
        </w:rPr>
      </w:pPr>
      <w:r>
        <w:t>Past 30 days</w:t>
      </w:r>
    </w:p>
    <w:p w14:paraId="7053F4A1" w14:textId="77777777" w:rsidR="00CB15F5" w:rsidRDefault="00CB15F5" w:rsidP="00A94FE1">
      <w:pPr>
        <w:jc w:val="both"/>
        <w:rPr>
          <w:i/>
        </w:rPr>
      </w:pPr>
      <w:r>
        <w:lastRenderedPageBreak/>
        <w:t>Merchants should conduct quarterly checks to ensure that no physical paper media has been retained past 30 days aside from the record of transaction.</w:t>
      </w:r>
    </w:p>
    <w:p w14:paraId="7C3154C5" w14:textId="3FDAB23A" w:rsidR="00CB15F5" w:rsidRDefault="00CB15F5" w:rsidP="00A94FE1">
      <w:pPr>
        <w:pStyle w:val="Heading3"/>
        <w:jc w:val="both"/>
      </w:pPr>
      <w:bookmarkStart w:id="9" w:name="_Toc2585490"/>
      <w:r>
        <w:t>1.7 Physical Media Destruction</w:t>
      </w:r>
      <w:bookmarkEnd w:id="9"/>
    </w:p>
    <w:p w14:paraId="2511AB86" w14:textId="37F27492" w:rsidR="00CB15F5" w:rsidRDefault="00CB15F5" w:rsidP="00A94FE1">
      <w:pPr>
        <w:jc w:val="both"/>
      </w:pPr>
      <w:r w:rsidRPr="00C13C23">
        <w:t xml:space="preserve">Destroy paper physical media using a </w:t>
      </w:r>
      <w:r w:rsidR="004D6191" w:rsidRPr="00C13C23">
        <w:t>crosscut</w:t>
      </w:r>
      <w:r w:rsidRPr="00C13C23">
        <w:t xml:space="preserve"> shredder. Disposal using an Iron Mountain shredding box is also acceptable.</w:t>
      </w:r>
    </w:p>
    <w:p w14:paraId="2A8C8B76" w14:textId="499EC7A8" w:rsidR="00CB15F5" w:rsidRDefault="00CB15F5" w:rsidP="00A94FE1">
      <w:pPr>
        <w:pStyle w:val="Heading3"/>
        <w:jc w:val="both"/>
      </w:pPr>
      <w:bookmarkStart w:id="10" w:name="_Toc2585491"/>
      <w:r>
        <w:t>1.8 Physical Media Records Retention</w:t>
      </w:r>
      <w:bookmarkEnd w:id="10"/>
    </w:p>
    <w:p w14:paraId="0085E473" w14:textId="2E0EDB98" w:rsidR="00CB15F5" w:rsidRPr="00EE40C4" w:rsidRDefault="00CB15F5" w:rsidP="00A94FE1">
      <w:pPr>
        <w:jc w:val="both"/>
      </w:pPr>
      <w:r>
        <w:t>Merchants must ensure</w:t>
      </w:r>
      <w:r w:rsidRPr="00EC7924">
        <w:t xml:space="preserve"> that a record is kept of </w:t>
      </w:r>
      <w:r>
        <w:t>every</w:t>
      </w:r>
      <w:r w:rsidRPr="00EC7924">
        <w:t xml:space="preserve"> transaction</w:t>
      </w:r>
      <w:r>
        <w:t xml:space="preserve">, regardless of </w:t>
      </w:r>
      <w:r w:rsidR="00B075EE">
        <w:t>whether</w:t>
      </w:r>
      <w:r>
        <w:t xml:space="preserve"> it is approved or declined</w:t>
      </w:r>
      <w:r w:rsidRPr="00EC7924">
        <w:t xml:space="preserve">. The record should include when the payment card data was received, who received it, who processed it, the date it was processed, </w:t>
      </w:r>
      <w:r>
        <w:t xml:space="preserve">the amount, </w:t>
      </w:r>
      <w:r w:rsidRPr="00EC7924">
        <w:t xml:space="preserve">the brand of the card, and the chain of custody (if transferred). This record must be retained for at least </w:t>
      </w:r>
      <w:r>
        <w:t>two years</w:t>
      </w:r>
      <w:r w:rsidRPr="00EC7924">
        <w:t xml:space="preserve"> and in accordance with the </w:t>
      </w:r>
      <w:hyperlink r:id="rId17" w:history="1">
        <w:r w:rsidRPr="0074500B">
          <w:rPr>
            <w:rStyle w:val="Hyperlink"/>
          </w:rPr>
          <w:t>Records Retention Schedules</w:t>
        </w:r>
      </w:hyperlink>
      <w:r w:rsidRPr="00EC7924">
        <w:t>.</w:t>
      </w:r>
    </w:p>
    <w:p w14:paraId="41ED58A0" w14:textId="5523B8A7" w:rsidR="00CB15F5" w:rsidRDefault="00CB15F5" w:rsidP="00A94FE1">
      <w:pPr>
        <w:pStyle w:val="Heading2"/>
        <w:jc w:val="both"/>
      </w:pPr>
      <w:bookmarkStart w:id="11" w:name="_Toc2585492"/>
      <w:r>
        <w:t>2.0 Merchant Accounts</w:t>
      </w:r>
      <w:bookmarkEnd w:id="11"/>
    </w:p>
    <w:p w14:paraId="4082D0A5" w14:textId="63C97740" w:rsidR="00CB15F5" w:rsidRDefault="00CB15F5" w:rsidP="00A94FE1">
      <w:pPr>
        <w:pStyle w:val="Heading3"/>
        <w:jc w:val="both"/>
      </w:pPr>
      <w:bookmarkStart w:id="12" w:name="_Toc2585493"/>
      <w:r>
        <w:t>2.1 Establishing Merchant Accounts with an Approved Acquirer</w:t>
      </w:r>
      <w:bookmarkEnd w:id="12"/>
    </w:p>
    <w:tbl>
      <w:tblPr>
        <w:tblW w:w="9722" w:type="dxa"/>
        <w:jc w:val="center"/>
        <w:tblCellMar>
          <w:top w:w="85" w:type="dxa"/>
          <w:left w:w="85" w:type="dxa"/>
          <w:bottom w:w="85" w:type="dxa"/>
          <w:right w:w="85" w:type="dxa"/>
        </w:tblCellMar>
        <w:tblLook w:val="01E0" w:firstRow="1" w:lastRow="1" w:firstColumn="1" w:lastColumn="1" w:noHBand="0" w:noVBand="0"/>
      </w:tblPr>
      <w:tblGrid>
        <w:gridCol w:w="1427"/>
        <w:gridCol w:w="8295"/>
      </w:tblGrid>
      <w:tr w:rsidR="00CB15F5" w:rsidRPr="00313292" w14:paraId="415230FB" w14:textId="77777777" w:rsidTr="00ED639D">
        <w:trPr>
          <w:trHeight w:val="259"/>
          <w:jc w:val="center"/>
        </w:trPr>
        <w:tc>
          <w:tcPr>
            <w:tcW w:w="1350" w:type="dxa"/>
            <w:shd w:val="clear" w:color="auto" w:fill="auto"/>
          </w:tcPr>
          <w:p w14:paraId="518FD0F6" w14:textId="77777777" w:rsidR="00CB15F5" w:rsidRPr="00ED639D" w:rsidRDefault="00CB15F5" w:rsidP="00A94FE1">
            <w:pPr>
              <w:jc w:val="both"/>
              <w:rPr>
                <w:b/>
              </w:rPr>
            </w:pPr>
            <w:r w:rsidRPr="00ED639D">
              <w:rPr>
                <w:b/>
              </w:rPr>
              <w:t xml:space="preserve">Step 1: </w:t>
            </w:r>
            <w:r w:rsidRPr="00ED639D">
              <w:t>Department, Faculty or Unit</w:t>
            </w:r>
          </w:p>
        </w:tc>
        <w:tc>
          <w:tcPr>
            <w:tcW w:w="8372" w:type="dxa"/>
          </w:tcPr>
          <w:p w14:paraId="15505093" w14:textId="16312BBB" w:rsidR="00CB15F5" w:rsidRDefault="00CB15F5" w:rsidP="00A94FE1">
            <w:pPr>
              <w:jc w:val="both"/>
            </w:pPr>
            <w:r>
              <w:t xml:space="preserve">Determine if a merchant account is necessary. If the department, faculty, or unit is looking to process payment cards for a one-time or annual event, </w:t>
            </w:r>
            <w:r w:rsidRPr="001A4B00">
              <w:t xml:space="preserve">they may refer to the </w:t>
            </w:r>
            <w:hyperlink r:id="rId18" w:history="1">
              <w:r w:rsidRPr="001A4B00">
                <w:rPr>
                  <w:rStyle w:val="Hyperlink"/>
                </w:rPr>
                <w:t>One-Time Events Procedure for Accepting Credit Card Payments</w:t>
              </w:r>
            </w:hyperlink>
            <w:r w:rsidRPr="001A4B00">
              <w:t xml:space="preserve"> document and terminate this procedure here.</w:t>
            </w:r>
          </w:p>
          <w:p w14:paraId="585B4AD2" w14:textId="04AA318A" w:rsidR="00CB15F5" w:rsidRPr="00313292" w:rsidRDefault="00CB15F5" w:rsidP="00A94FE1">
            <w:pPr>
              <w:jc w:val="both"/>
            </w:pPr>
            <w:r>
              <w:t>NOTE: Should the department, faculty, or unit choose to proceed in opening a merchant account, they must ensure they are aware of their responsibilities as outlined in the Payment Card Acceptance Policy.</w:t>
            </w:r>
          </w:p>
        </w:tc>
      </w:tr>
      <w:tr w:rsidR="00CB15F5" w:rsidRPr="00953883" w14:paraId="2365797D" w14:textId="77777777" w:rsidTr="00ED639D">
        <w:trPr>
          <w:trHeight w:val="259"/>
          <w:jc w:val="center"/>
        </w:trPr>
        <w:tc>
          <w:tcPr>
            <w:tcW w:w="1350" w:type="dxa"/>
            <w:shd w:val="clear" w:color="auto" w:fill="auto"/>
          </w:tcPr>
          <w:p w14:paraId="092DED18" w14:textId="77777777" w:rsidR="00CB15F5" w:rsidRPr="00ED639D" w:rsidRDefault="00CB15F5" w:rsidP="00A94FE1">
            <w:pPr>
              <w:jc w:val="both"/>
            </w:pPr>
            <w:r w:rsidRPr="00ED639D">
              <w:rPr>
                <w:b/>
              </w:rPr>
              <w:t>Step 2:</w:t>
            </w:r>
            <w:r w:rsidRPr="00ED639D">
              <w:t xml:space="preserve"> Department, Faculty or Unit</w:t>
            </w:r>
          </w:p>
        </w:tc>
        <w:tc>
          <w:tcPr>
            <w:tcW w:w="8372" w:type="dxa"/>
          </w:tcPr>
          <w:p w14:paraId="41ED7860" w14:textId="05120780" w:rsidR="00CB15F5" w:rsidRDefault="00CB15F5" w:rsidP="00A94FE1">
            <w:pPr>
              <w:jc w:val="both"/>
            </w:pPr>
            <w:r>
              <w:t>Complete the</w:t>
            </w:r>
            <w:r w:rsidR="00B075EE">
              <w:t xml:space="preserve"> </w:t>
            </w:r>
            <w:hyperlink r:id="rId19" w:history="1">
              <w:r w:rsidR="00B075EE" w:rsidRPr="00B075EE">
                <w:rPr>
                  <w:rStyle w:val="Hyperlink"/>
                </w:rPr>
                <w:t>Request for N</w:t>
              </w:r>
              <w:r w:rsidR="00B075EE" w:rsidRPr="00B075EE">
                <w:rPr>
                  <w:rStyle w:val="Hyperlink"/>
                </w:rPr>
                <w:t>e</w:t>
              </w:r>
              <w:r w:rsidR="00B075EE" w:rsidRPr="00B075EE">
                <w:rPr>
                  <w:rStyle w:val="Hyperlink"/>
                </w:rPr>
                <w:t>w Merchant Acc</w:t>
              </w:r>
              <w:r w:rsidR="00B075EE" w:rsidRPr="00B075EE">
                <w:rPr>
                  <w:rStyle w:val="Hyperlink"/>
                </w:rPr>
                <w:t>o</w:t>
              </w:r>
              <w:r w:rsidR="00B075EE" w:rsidRPr="00B075EE">
                <w:rPr>
                  <w:rStyle w:val="Hyperlink"/>
                </w:rPr>
                <w:t xml:space="preserve">unt </w:t>
              </w:r>
              <w:r w:rsidR="00B075EE">
                <w:rPr>
                  <w:rStyle w:val="Hyperlink"/>
                </w:rPr>
                <w:t>–</w:t>
              </w:r>
              <w:r w:rsidR="00B075EE" w:rsidRPr="00B075EE">
                <w:rPr>
                  <w:rStyle w:val="Hyperlink"/>
                </w:rPr>
                <w:t xml:space="preserve"> Online</w:t>
              </w:r>
            </w:hyperlink>
            <w:r w:rsidR="00B075EE">
              <w:t xml:space="preserve"> form for E-Commerce/</w:t>
            </w:r>
            <w:r w:rsidR="003B00F7">
              <w:t>O</w:t>
            </w:r>
            <w:r w:rsidR="00B075EE">
              <w:t xml:space="preserve">nline </w:t>
            </w:r>
            <w:r w:rsidR="003B00F7">
              <w:t>A</w:t>
            </w:r>
            <w:r w:rsidR="00B075EE">
              <w:t xml:space="preserve">cceptance and the </w:t>
            </w:r>
            <w:hyperlink r:id="rId20" w:history="1">
              <w:r w:rsidR="00B075EE" w:rsidRPr="00B075EE">
                <w:rPr>
                  <w:rStyle w:val="Hyperlink"/>
                </w:rPr>
                <w:t xml:space="preserve">Request for New </w:t>
              </w:r>
              <w:r w:rsidR="00B075EE" w:rsidRPr="00B075EE">
                <w:rPr>
                  <w:rStyle w:val="Hyperlink"/>
                </w:rPr>
                <w:t>M</w:t>
              </w:r>
              <w:r w:rsidR="00B075EE" w:rsidRPr="00B075EE">
                <w:rPr>
                  <w:rStyle w:val="Hyperlink"/>
                </w:rPr>
                <w:t xml:space="preserve">erchant Account </w:t>
              </w:r>
              <w:r w:rsidR="00B075EE">
                <w:rPr>
                  <w:rStyle w:val="Hyperlink"/>
                </w:rPr>
                <w:t>–</w:t>
              </w:r>
              <w:r w:rsidR="00B075EE" w:rsidRPr="00B075EE">
                <w:rPr>
                  <w:rStyle w:val="Hyperlink"/>
                </w:rPr>
                <w:t xml:space="preserve"> PIN Pad</w:t>
              </w:r>
            </w:hyperlink>
            <w:r w:rsidR="00B075EE">
              <w:t xml:space="preserve"> form for new PIN Pad/POS terminals</w:t>
            </w:r>
            <w:r>
              <w:t>. Ensure the form is approved and signed by the Business Officer. Email the completed requisition</w:t>
            </w:r>
            <w:r w:rsidR="00B075EE">
              <w:t xml:space="preserve"> form</w:t>
            </w:r>
            <w:r>
              <w:t xml:space="preserve"> to the PCI Coordinator for approval.</w:t>
            </w:r>
          </w:p>
          <w:p w14:paraId="1DA6CF25" w14:textId="5AC4B4E0" w:rsidR="00CB15F5" w:rsidRPr="00953883" w:rsidRDefault="00CB15F5" w:rsidP="00A94FE1">
            <w:pPr>
              <w:jc w:val="both"/>
            </w:pPr>
            <w:r>
              <w:t xml:space="preserve">NOTE: </w:t>
            </w:r>
            <w:r w:rsidRPr="00045232">
              <w:t>Departments</w:t>
            </w:r>
            <w:r>
              <w:t>, faculties</w:t>
            </w:r>
            <w:r w:rsidRPr="00045232">
              <w:t xml:space="preserve"> or units are prohibited from </w:t>
            </w:r>
            <w:proofErr w:type="gramStart"/>
            <w:r w:rsidRPr="00045232">
              <w:t>entering into</w:t>
            </w:r>
            <w:proofErr w:type="gramEnd"/>
            <w:r w:rsidRPr="00045232">
              <w:t xml:space="preserve"> separate banking or payment processing services on their own, including PayPal</w:t>
            </w:r>
            <w:r>
              <w:t>, as per the Payment Card Acceptance Policy.</w:t>
            </w:r>
          </w:p>
        </w:tc>
      </w:tr>
      <w:tr w:rsidR="00CB15F5" w14:paraId="451943EB" w14:textId="77777777" w:rsidTr="00ED639D">
        <w:trPr>
          <w:trHeight w:val="259"/>
          <w:jc w:val="center"/>
        </w:trPr>
        <w:tc>
          <w:tcPr>
            <w:tcW w:w="1350" w:type="dxa"/>
            <w:shd w:val="clear" w:color="auto" w:fill="auto"/>
          </w:tcPr>
          <w:p w14:paraId="06F268FC" w14:textId="77777777" w:rsidR="00CB15F5" w:rsidRDefault="00CB15F5" w:rsidP="00A94FE1">
            <w:pPr>
              <w:jc w:val="both"/>
            </w:pPr>
            <w:r w:rsidRPr="00ED639D">
              <w:rPr>
                <w:b/>
              </w:rPr>
              <w:t>Step 3:</w:t>
            </w:r>
            <w:r>
              <w:t xml:space="preserve"> PCI Coordinator</w:t>
            </w:r>
          </w:p>
        </w:tc>
        <w:tc>
          <w:tcPr>
            <w:tcW w:w="8372" w:type="dxa"/>
          </w:tcPr>
          <w:p w14:paraId="1CB24458" w14:textId="77777777" w:rsidR="00CB15F5" w:rsidRDefault="00CB15F5" w:rsidP="00A94FE1">
            <w:pPr>
              <w:jc w:val="both"/>
            </w:pPr>
            <w:r>
              <w:t>Conduct a review of the proposed payment stream with the department, faculty, or unit. Either deny, request revisions and/or additional documentation, or approve the requisition.</w:t>
            </w:r>
          </w:p>
          <w:p w14:paraId="4B01651D" w14:textId="040DC0F1" w:rsidR="00CB15F5" w:rsidRDefault="00CB15F5" w:rsidP="00A94FE1">
            <w:pPr>
              <w:jc w:val="both"/>
            </w:pPr>
            <w:r>
              <w:t xml:space="preserve">Advise the department, faculty, or unit of any equipment that needs to be procured to operate the new merchant account (ex. PCI terminal, POS devices). The merchant is responsible for the procurement of all equipment required to operate a merchant account </w:t>
            </w:r>
            <w:r>
              <w:rPr>
                <w:b/>
                <w:u w:val="single"/>
              </w:rPr>
              <w:t>except</w:t>
            </w:r>
            <w:r>
              <w:t xml:space="preserve"> equipment that is leased by the acquirer, which will be coo</w:t>
            </w:r>
            <w:r w:rsidR="000C19BF">
              <w:t>rdinated by Financial Services.</w:t>
            </w:r>
          </w:p>
          <w:p w14:paraId="0F90E7CC" w14:textId="0253DFDC" w:rsidR="00CB15F5" w:rsidRDefault="00CB15F5" w:rsidP="00A94FE1">
            <w:pPr>
              <w:jc w:val="both"/>
            </w:pPr>
            <w:r>
              <w:t>Pre-fill the Declaration Document for the department, faculty</w:t>
            </w:r>
            <w:r w:rsidR="00BB71F5">
              <w:t>,</w:t>
            </w:r>
            <w:r>
              <w:t xml:space="preserve"> or unit.</w:t>
            </w:r>
          </w:p>
        </w:tc>
      </w:tr>
      <w:tr w:rsidR="00CB15F5" w14:paraId="442B32EB" w14:textId="77777777" w:rsidTr="00ED639D">
        <w:trPr>
          <w:trHeight w:val="259"/>
          <w:jc w:val="center"/>
        </w:trPr>
        <w:tc>
          <w:tcPr>
            <w:tcW w:w="1350" w:type="dxa"/>
            <w:shd w:val="clear" w:color="auto" w:fill="auto"/>
          </w:tcPr>
          <w:p w14:paraId="754F5ACC" w14:textId="77777777" w:rsidR="00CB15F5" w:rsidRDefault="00CB15F5" w:rsidP="00A94FE1">
            <w:pPr>
              <w:jc w:val="both"/>
            </w:pPr>
            <w:r w:rsidRPr="00ED639D">
              <w:rPr>
                <w:b/>
              </w:rPr>
              <w:lastRenderedPageBreak/>
              <w:t>Step 4:</w:t>
            </w:r>
            <w:r>
              <w:t xml:space="preserve"> Department, Faculty or Unit</w:t>
            </w:r>
          </w:p>
        </w:tc>
        <w:tc>
          <w:tcPr>
            <w:tcW w:w="8372" w:type="dxa"/>
          </w:tcPr>
          <w:p w14:paraId="005B2871" w14:textId="77777777" w:rsidR="00CB15F5" w:rsidRDefault="00CB15F5" w:rsidP="00A94FE1">
            <w:pPr>
              <w:jc w:val="both"/>
            </w:pPr>
            <w:r>
              <w:t>Once the requisition is approved, designate a PCI Merchant Contact for the new merchant account. This role will be responsible for coordinating the compliance activities (training, ethics agreements, user access, logs, etc.) on behalf of the department, faculty, or unit. Notify the PCI Coordinator.</w:t>
            </w:r>
          </w:p>
        </w:tc>
      </w:tr>
      <w:tr w:rsidR="00CB15F5" w14:paraId="0148E471" w14:textId="77777777" w:rsidTr="00ED639D">
        <w:trPr>
          <w:trHeight w:val="259"/>
          <w:jc w:val="center"/>
        </w:trPr>
        <w:tc>
          <w:tcPr>
            <w:tcW w:w="1350" w:type="dxa"/>
            <w:shd w:val="clear" w:color="auto" w:fill="auto"/>
          </w:tcPr>
          <w:p w14:paraId="484D403B" w14:textId="77777777" w:rsidR="00CB15F5" w:rsidRDefault="00CB15F5" w:rsidP="00A94FE1">
            <w:pPr>
              <w:jc w:val="both"/>
            </w:pPr>
            <w:r w:rsidRPr="00ED639D">
              <w:rPr>
                <w:b/>
              </w:rPr>
              <w:t>Step 5:</w:t>
            </w:r>
            <w:r>
              <w:t xml:space="preserve"> PCI Coordinator</w:t>
            </w:r>
          </w:p>
        </w:tc>
        <w:tc>
          <w:tcPr>
            <w:tcW w:w="8372" w:type="dxa"/>
          </w:tcPr>
          <w:p w14:paraId="390E861E" w14:textId="361561DE" w:rsidR="00CB15F5" w:rsidRDefault="00CB15F5" w:rsidP="00A94FE1">
            <w:pPr>
              <w:jc w:val="both"/>
            </w:pPr>
            <w:r>
              <w:t>Submit the request to open a new merchant account to the acquirer and facilitate the delivery of a</w:t>
            </w:r>
            <w:r w:rsidR="000C19BF">
              <w:t>ny acquirer</w:t>
            </w:r>
            <w:r w:rsidR="00025469">
              <w:t>-</w:t>
            </w:r>
            <w:r w:rsidR="000C19BF">
              <w:t>provided equipment.</w:t>
            </w:r>
          </w:p>
          <w:p w14:paraId="7D3BFC3E" w14:textId="77777777" w:rsidR="00CB15F5" w:rsidRDefault="00CB15F5" w:rsidP="00A94FE1">
            <w:pPr>
              <w:jc w:val="both"/>
            </w:pPr>
            <w:r>
              <w:t>Initiate the support ticket request to connect the new account to the PCI network (if applicable). Copy the PCI Merchant Contact.</w:t>
            </w:r>
          </w:p>
        </w:tc>
      </w:tr>
      <w:tr w:rsidR="00CB15F5" w14:paraId="6E582316" w14:textId="77777777" w:rsidTr="00ED639D">
        <w:trPr>
          <w:trHeight w:val="259"/>
          <w:jc w:val="center"/>
        </w:trPr>
        <w:tc>
          <w:tcPr>
            <w:tcW w:w="1350" w:type="dxa"/>
            <w:shd w:val="clear" w:color="auto" w:fill="auto"/>
          </w:tcPr>
          <w:p w14:paraId="647077B9" w14:textId="77777777" w:rsidR="00CB15F5" w:rsidRDefault="00CB15F5" w:rsidP="00A94FE1">
            <w:pPr>
              <w:jc w:val="both"/>
            </w:pPr>
            <w:r w:rsidRPr="00ED639D">
              <w:rPr>
                <w:b/>
              </w:rPr>
              <w:t>Step 6:</w:t>
            </w:r>
            <w:r>
              <w:t xml:space="preserve"> ITS</w:t>
            </w:r>
          </w:p>
        </w:tc>
        <w:tc>
          <w:tcPr>
            <w:tcW w:w="8372" w:type="dxa"/>
          </w:tcPr>
          <w:p w14:paraId="2FC2F196" w14:textId="34161E02" w:rsidR="00CB15F5" w:rsidRDefault="00CB15F5" w:rsidP="00A94FE1">
            <w:pPr>
              <w:jc w:val="both"/>
            </w:pPr>
            <w:r w:rsidRPr="0023787B">
              <w:t xml:space="preserve">Review the </w:t>
            </w:r>
            <w:r>
              <w:t>support ticket</w:t>
            </w:r>
            <w:r w:rsidRPr="0023787B">
              <w:t xml:space="preserve"> and advise the </w:t>
            </w:r>
            <w:r>
              <w:t>PCI Merchant Contact</w:t>
            </w:r>
            <w:r w:rsidRPr="0023787B">
              <w:t xml:space="preserve"> and PCI Coordinator of any additional equipment and</w:t>
            </w:r>
            <w:r>
              <w:t>/</w:t>
            </w:r>
            <w:r w:rsidRPr="0023787B">
              <w:t>or wiring that needs to be ord</w:t>
            </w:r>
            <w:r>
              <w:t>ered/installed (if applicable).</w:t>
            </w:r>
          </w:p>
          <w:p w14:paraId="64BAD3B1" w14:textId="77777777" w:rsidR="00CB15F5" w:rsidRDefault="00CB15F5" w:rsidP="00A94FE1">
            <w:pPr>
              <w:jc w:val="both"/>
            </w:pPr>
            <w:r w:rsidRPr="0023787B">
              <w:t xml:space="preserve">Complete wiring and network configuration changes and update </w:t>
            </w:r>
            <w:r>
              <w:t>support ticket</w:t>
            </w:r>
            <w:r w:rsidRPr="0023787B">
              <w:t xml:space="preserve"> with status of completed work.</w:t>
            </w:r>
          </w:p>
        </w:tc>
      </w:tr>
      <w:tr w:rsidR="00CB15F5" w14:paraId="0D9A1696" w14:textId="77777777" w:rsidTr="00ED639D">
        <w:trPr>
          <w:trHeight w:val="259"/>
          <w:jc w:val="center"/>
        </w:trPr>
        <w:tc>
          <w:tcPr>
            <w:tcW w:w="1350" w:type="dxa"/>
            <w:shd w:val="clear" w:color="auto" w:fill="auto"/>
          </w:tcPr>
          <w:p w14:paraId="4646F183" w14:textId="77777777" w:rsidR="00CB15F5" w:rsidRDefault="00CB15F5" w:rsidP="00A94FE1">
            <w:pPr>
              <w:jc w:val="both"/>
            </w:pPr>
            <w:r w:rsidRPr="00ED639D">
              <w:rPr>
                <w:b/>
              </w:rPr>
              <w:t>Step 7:</w:t>
            </w:r>
            <w:r>
              <w:t xml:space="preserve"> PCI Merchant Contact</w:t>
            </w:r>
          </w:p>
        </w:tc>
        <w:tc>
          <w:tcPr>
            <w:tcW w:w="8372" w:type="dxa"/>
          </w:tcPr>
          <w:p w14:paraId="24593ACF" w14:textId="46836A71" w:rsidR="00CB15F5" w:rsidRDefault="00CB15F5" w:rsidP="00A94FE1">
            <w:pPr>
              <w:jc w:val="both"/>
            </w:pPr>
            <w:r>
              <w:t xml:space="preserve">Ensure any </w:t>
            </w:r>
            <w:r w:rsidRPr="00B06E86">
              <w:t xml:space="preserve">employees, </w:t>
            </w:r>
            <w:r>
              <w:t xml:space="preserve">contractors, and/or </w:t>
            </w:r>
            <w:r w:rsidRPr="00B06E86">
              <w:t>service providers operati</w:t>
            </w:r>
            <w:r>
              <w:t xml:space="preserve">ng on behalf of the University who will interact with the new payment stream receive the appropriate training and sign the </w:t>
            </w:r>
            <w:hyperlink r:id="rId21" w:history="1">
              <w:r w:rsidRPr="00397D4F">
                <w:rPr>
                  <w:rStyle w:val="Hyperlink"/>
                </w:rPr>
                <w:t>Payment Card Sec</w:t>
              </w:r>
              <w:r w:rsidRPr="00397D4F">
                <w:rPr>
                  <w:rStyle w:val="Hyperlink"/>
                </w:rPr>
                <w:t>u</w:t>
              </w:r>
              <w:r w:rsidRPr="00397D4F">
                <w:rPr>
                  <w:rStyle w:val="Hyperlink"/>
                </w:rPr>
                <w:t>rity &amp; Ethics Agreement</w:t>
              </w:r>
            </w:hyperlink>
            <w:r>
              <w:t>. Request user access from the PCI Coordinator as required. Training requirements can be fou</w:t>
            </w:r>
            <w:r w:rsidR="000C19BF">
              <w:t>nd on the Declaration Document.</w:t>
            </w:r>
          </w:p>
          <w:p w14:paraId="28DCCDA4" w14:textId="109B08F4" w:rsidR="00CB15F5" w:rsidRDefault="00CB15F5" w:rsidP="00A94FE1">
            <w:pPr>
              <w:jc w:val="both"/>
            </w:pPr>
            <w:r>
              <w:t>Order and install equipment as advised by ITS and the PCI Coordinator. Ensure all pr</w:t>
            </w:r>
            <w:r w:rsidR="000C19BF">
              <w:t>e-provided passwords are reset.</w:t>
            </w:r>
          </w:p>
          <w:p w14:paraId="39C9CBBE" w14:textId="77777777" w:rsidR="00CB15F5" w:rsidRDefault="00CB15F5" w:rsidP="00A94FE1">
            <w:pPr>
              <w:jc w:val="both"/>
            </w:pPr>
            <w:r>
              <w:t>Complete the Declaration Document.</w:t>
            </w:r>
          </w:p>
        </w:tc>
      </w:tr>
      <w:tr w:rsidR="00CB15F5" w14:paraId="2C7D41B6" w14:textId="77777777" w:rsidTr="00ED639D">
        <w:trPr>
          <w:trHeight w:val="259"/>
          <w:jc w:val="center"/>
        </w:trPr>
        <w:tc>
          <w:tcPr>
            <w:tcW w:w="1350" w:type="dxa"/>
            <w:shd w:val="clear" w:color="auto" w:fill="auto"/>
          </w:tcPr>
          <w:p w14:paraId="6B6134CF" w14:textId="77777777" w:rsidR="00CB15F5" w:rsidRDefault="00CB15F5" w:rsidP="00A94FE1">
            <w:pPr>
              <w:jc w:val="both"/>
            </w:pPr>
            <w:r w:rsidRPr="00ED639D">
              <w:rPr>
                <w:b/>
              </w:rPr>
              <w:t>Step 8:</w:t>
            </w:r>
            <w:r>
              <w:t xml:space="preserve"> PCI Coordinator &amp; Financial Services</w:t>
            </w:r>
          </w:p>
        </w:tc>
        <w:tc>
          <w:tcPr>
            <w:tcW w:w="8372" w:type="dxa"/>
          </w:tcPr>
          <w:p w14:paraId="5D12F9B0" w14:textId="4E267A8A" w:rsidR="00CB15F5" w:rsidRDefault="00CB15F5" w:rsidP="00A94FE1">
            <w:pPr>
              <w:jc w:val="both"/>
            </w:pPr>
            <w:r>
              <w:t>Alert the PCI Merchant Contact and Business Officer when the</w:t>
            </w:r>
            <w:r w:rsidR="000C19BF">
              <w:t xml:space="preserve"> new account is active. </w:t>
            </w:r>
          </w:p>
          <w:p w14:paraId="3C01CF5F" w14:textId="77777777" w:rsidR="00CB15F5" w:rsidRDefault="00CB15F5" w:rsidP="00A94FE1">
            <w:pPr>
              <w:jc w:val="both"/>
            </w:pPr>
            <w:r>
              <w:t xml:space="preserve">Verify that any </w:t>
            </w:r>
            <w:r w:rsidRPr="00B06E86">
              <w:t xml:space="preserve">employees, </w:t>
            </w:r>
            <w:r>
              <w:t xml:space="preserve">contractors, and/or </w:t>
            </w:r>
            <w:r w:rsidRPr="00B06E86">
              <w:t>service providers operati</w:t>
            </w:r>
            <w:r>
              <w:t>ng on behalf of the University have completed the appropriate training and signed the Payment Card Security &amp; Ethics Agreement prior to fulfilling any requests for access to the new account. Close the support ticket.</w:t>
            </w:r>
          </w:p>
        </w:tc>
      </w:tr>
    </w:tbl>
    <w:p w14:paraId="1B0ACE43" w14:textId="32738DEF" w:rsidR="00CB15F5" w:rsidRDefault="00CB15F5" w:rsidP="00A94FE1">
      <w:pPr>
        <w:jc w:val="both"/>
      </w:pPr>
    </w:p>
    <w:p w14:paraId="1618D4AE" w14:textId="2173D838" w:rsidR="00CB15F5" w:rsidRDefault="00CB15F5" w:rsidP="00A94FE1">
      <w:pPr>
        <w:pStyle w:val="Heading3"/>
        <w:jc w:val="both"/>
      </w:pPr>
      <w:bookmarkStart w:id="13" w:name="_Toc2585494"/>
      <w:r>
        <w:t>2.2 Modify or Remove an Existing Merchant Account</w:t>
      </w:r>
      <w:bookmarkEnd w:id="13"/>
    </w:p>
    <w:tbl>
      <w:tblPr>
        <w:tblW w:w="9727" w:type="dxa"/>
        <w:jc w:val="center"/>
        <w:tblCellMar>
          <w:top w:w="85" w:type="dxa"/>
          <w:left w:w="85" w:type="dxa"/>
          <w:bottom w:w="85" w:type="dxa"/>
          <w:right w:w="85" w:type="dxa"/>
        </w:tblCellMar>
        <w:tblLook w:val="01E0" w:firstRow="1" w:lastRow="1" w:firstColumn="1" w:lastColumn="1" w:noHBand="0" w:noVBand="0"/>
      </w:tblPr>
      <w:tblGrid>
        <w:gridCol w:w="1431"/>
        <w:gridCol w:w="8296"/>
      </w:tblGrid>
      <w:tr w:rsidR="00CB15F5" w:rsidRPr="002D6FC0" w14:paraId="7F81F1FF" w14:textId="77777777" w:rsidTr="00ED639D">
        <w:trPr>
          <w:trHeight w:val="259"/>
          <w:jc w:val="center"/>
        </w:trPr>
        <w:tc>
          <w:tcPr>
            <w:tcW w:w="1431" w:type="dxa"/>
            <w:shd w:val="clear" w:color="auto" w:fill="auto"/>
          </w:tcPr>
          <w:p w14:paraId="39512E81" w14:textId="77777777" w:rsidR="00CB15F5" w:rsidRPr="002D6FC0" w:rsidRDefault="00CB15F5" w:rsidP="00A94FE1">
            <w:pPr>
              <w:jc w:val="both"/>
            </w:pPr>
            <w:r w:rsidRPr="00ED639D">
              <w:rPr>
                <w:b/>
              </w:rPr>
              <w:t>Step 1:</w:t>
            </w:r>
            <w:r>
              <w:t xml:space="preserve"> PCI Merchant Contact</w:t>
            </w:r>
          </w:p>
        </w:tc>
        <w:tc>
          <w:tcPr>
            <w:tcW w:w="8296" w:type="dxa"/>
          </w:tcPr>
          <w:p w14:paraId="7A71EC44" w14:textId="32CD63EF" w:rsidR="00CB15F5" w:rsidRPr="002D6FC0" w:rsidRDefault="00CB15F5" w:rsidP="00A94FE1">
            <w:pPr>
              <w:jc w:val="both"/>
            </w:pPr>
            <w:r>
              <w:t>Complete the</w:t>
            </w:r>
            <w:r w:rsidR="001F5D7B">
              <w:t xml:space="preserve"> </w:t>
            </w:r>
            <w:hyperlink r:id="rId22" w:history="1">
              <w:r w:rsidR="001F5D7B" w:rsidRPr="001F5D7B">
                <w:rPr>
                  <w:rStyle w:val="Hyperlink"/>
                </w:rPr>
                <w:t xml:space="preserve">Request to Make Changes to a Merchant Account </w:t>
              </w:r>
              <w:r w:rsidR="001F5D7B" w:rsidRPr="001F5D7B">
                <w:rPr>
                  <w:rStyle w:val="Hyperlink"/>
                </w:rPr>
                <w:t>a</w:t>
              </w:r>
              <w:r w:rsidR="001F5D7B" w:rsidRPr="001F5D7B">
                <w:rPr>
                  <w:rStyle w:val="Hyperlink"/>
                </w:rPr>
                <w:t>nd/or User Access</w:t>
              </w:r>
            </w:hyperlink>
            <w:r w:rsidR="001F5D7B">
              <w:t xml:space="preserve"> form or the </w:t>
            </w:r>
            <w:hyperlink r:id="rId23" w:history="1">
              <w:r w:rsidR="001F5D7B" w:rsidRPr="001F5D7B">
                <w:rPr>
                  <w:rStyle w:val="Hyperlink"/>
                </w:rPr>
                <w:t>Request to Close a Merchant account</w:t>
              </w:r>
            </w:hyperlink>
            <w:r w:rsidR="001F5D7B">
              <w:t xml:space="preserve"> form depending on the service required</w:t>
            </w:r>
            <w:r>
              <w:t xml:space="preserve">. </w:t>
            </w:r>
            <w:r w:rsidRPr="002D6FC0">
              <w:t xml:space="preserve">Ensure the form is approved and signed by the Business Officer. Email </w:t>
            </w:r>
            <w:r>
              <w:t xml:space="preserve">the completed form </w:t>
            </w:r>
            <w:r w:rsidRPr="002D6FC0">
              <w:t>to the PCI Coordinator for approval.</w:t>
            </w:r>
          </w:p>
        </w:tc>
      </w:tr>
      <w:tr w:rsidR="00CB15F5" w:rsidRPr="002D6FC0" w14:paraId="4692B3AE" w14:textId="77777777" w:rsidTr="00ED639D">
        <w:trPr>
          <w:trHeight w:val="259"/>
          <w:jc w:val="center"/>
        </w:trPr>
        <w:tc>
          <w:tcPr>
            <w:tcW w:w="1431" w:type="dxa"/>
            <w:shd w:val="clear" w:color="auto" w:fill="auto"/>
          </w:tcPr>
          <w:p w14:paraId="372DC93C" w14:textId="77777777" w:rsidR="00CB15F5" w:rsidRPr="002D6FC0" w:rsidRDefault="00CB15F5" w:rsidP="00A94FE1">
            <w:pPr>
              <w:jc w:val="both"/>
            </w:pPr>
            <w:r w:rsidRPr="00ED639D">
              <w:rPr>
                <w:b/>
              </w:rPr>
              <w:t>Step 2:</w:t>
            </w:r>
            <w:r>
              <w:t xml:space="preserve"> PCI Coordinator</w:t>
            </w:r>
          </w:p>
        </w:tc>
        <w:tc>
          <w:tcPr>
            <w:tcW w:w="8296" w:type="dxa"/>
          </w:tcPr>
          <w:p w14:paraId="728DD78A" w14:textId="77777777" w:rsidR="00CB15F5" w:rsidRPr="002D6FC0" w:rsidRDefault="00CB15F5" w:rsidP="00A94FE1">
            <w:pPr>
              <w:jc w:val="both"/>
            </w:pPr>
            <w:r>
              <w:t>Review form and either deny, request revisions and/or additional documentation, or approve.</w:t>
            </w:r>
          </w:p>
        </w:tc>
      </w:tr>
      <w:tr w:rsidR="00CB15F5" w14:paraId="019EA377" w14:textId="77777777" w:rsidTr="00ED639D">
        <w:trPr>
          <w:trHeight w:val="259"/>
          <w:jc w:val="center"/>
        </w:trPr>
        <w:tc>
          <w:tcPr>
            <w:tcW w:w="1431" w:type="dxa"/>
            <w:shd w:val="clear" w:color="auto" w:fill="auto"/>
          </w:tcPr>
          <w:p w14:paraId="0503FF71" w14:textId="77777777" w:rsidR="00CB15F5" w:rsidRDefault="00CB15F5" w:rsidP="00A94FE1">
            <w:pPr>
              <w:jc w:val="both"/>
            </w:pPr>
            <w:r w:rsidRPr="00ED639D">
              <w:rPr>
                <w:b/>
              </w:rPr>
              <w:lastRenderedPageBreak/>
              <w:t>Step 3:</w:t>
            </w:r>
            <w:r>
              <w:t xml:space="preserve"> PCI Merchant Contact</w:t>
            </w:r>
          </w:p>
        </w:tc>
        <w:tc>
          <w:tcPr>
            <w:tcW w:w="8296" w:type="dxa"/>
          </w:tcPr>
          <w:p w14:paraId="056B54BE" w14:textId="77777777" w:rsidR="00CB15F5" w:rsidRDefault="00CB15F5" w:rsidP="00A94FE1">
            <w:pPr>
              <w:jc w:val="both"/>
            </w:pPr>
            <w:r>
              <w:t>Notify PCI Coordinator of any user accounts and/or PCI user IDs that need to be modified or removed.</w:t>
            </w:r>
          </w:p>
        </w:tc>
      </w:tr>
      <w:tr w:rsidR="00CB15F5" w:rsidRPr="002D6FC0" w14:paraId="107A0AEE" w14:textId="77777777" w:rsidTr="00ED639D">
        <w:trPr>
          <w:trHeight w:val="259"/>
          <w:jc w:val="center"/>
        </w:trPr>
        <w:tc>
          <w:tcPr>
            <w:tcW w:w="1431" w:type="dxa"/>
            <w:shd w:val="clear" w:color="auto" w:fill="auto"/>
          </w:tcPr>
          <w:p w14:paraId="3DF1C6AD" w14:textId="77777777" w:rsidR="00CB15F5" w:rsidRPr="002D6FC0" w:rsidRDefault="00CB15F5" w:rsidP="00A94FE1">
            <w:pPr>
              <w:jc w:val="both"/>
            </w:pPr>
            <w:r w:rsidRPr="00ED639D">
              <w:rPr>
                <w:b/>
              </w:rPr>
              <w:t>Step 4:</w:t>
            </w:r>
            <w:r>
              <w:t xml:space="preserve"> PCI Coordinator</w:t>
            </w:r>
          </w:p>
        </w:tc>
        <w:tc>
          <w:tcPr>
            <w:tcW w:w="8296" w:type="dxa"/>
          </w:tcPr>
          <w:p w14:paraId="7F5FA865" w14:textId="77777777" w:rsidR="00CB15F5" w:rsidRDefault="00CB15F5" w:rsidP="00A94FE1">
            <w:pPr>
              <w:jc w:val="both"/>
            </w:pPr>
            <w:r>
              <w:t>Submit the request to modify or remove the merchant account and/or user access to the acquirer and facilitate the return of any acquirer provided equipment (if applicable).</w:t>
            </w:r>
          </w:p>
          <w:p w14:paraId="1C4B5148" w14:textId="77777777" w:rsidR="00CB15F5" w:rsidRPr="002D6FC0" w:rsidRDefault="00CB15F5" w:rsidP="00A94FE1">
            <w:pPr>
              <w:jc w:val="both"/>
            </w:pPr>
            <w:r>
              <w:t>Initiate the support ticket request to move/de-provision PCI jacks, PCI terminals, PCI User IDs, etc. (as applicable).</w:t>
            </w:r>
          </w:p>
        </w:tc>
      </w:tr>
      <w:tr w:rsidR="00CB15F5" w14:paraId="70DE6827" w14:textId="77777777" w:rsidTr="00ED639D">
        <w:trPr>
          <w:trHeight w:val="259"/>
          <w:jc w:val="center"/>
        </w:trPr>
        <w:tc>
          <w:tcPr>
            <w:tcW w:w="1431" w:type="dxa"/>
            <w:shd w:val="clear" w:color="auto" w:fill="auto"/>
          </w:tcPr>
          <w:p w14:paraId="350202C9" w14:textId="77777777" w:rsidR="00CB15F5" w:rsidRDefault="00CB15F5" w:rsidP="00A94FE1">
            <w:pPr>
              <w:jc w:val="both"/>
            </w:pPr>
            <w:r w:rsidRPr="00ED639D">
              <w:rPr>
                <w:b/>
              </w:rPr>
              <w:t>Step 5:</w:t>
            </w:r>
            <w:r>
              <w:t xml:space="preserve"> ITS</w:t>
            </w:r>
          </w:p>
        </w:tc>
        <w:tc>
          <w:tcPr>
            <w:tcW w:w="8296" w:type="dxa"/>
          </w:tcPr>
          <w:p w14:paraId="2931A6F2" w14:textId="77777777" w:rsidR="00CB15F5" w:rsidRDefault="00CB15F5" w:rsidP="00A94FE1">
            <w:pPr>
              <w:jc w:val="both"/>
            </w:pPr>
            <w:r>
              <w:t>Update the support ticket with status of completed work.</w:t>
            </w:r>
          </w:p>
        </w:tc>
      </w:tr>
      <w:tr w:rsidR="00CB15F5" w:rsidRPr="002D6FC0" w14:paraId="0C7DD462" w14:textId="77777777" w:rsidTr="00ED639D">
        <w:trPr>
          <w:trHeight w:val="259"/>
          <w:jc w:val="center"/>
        </w:trPr>
        <w:tc>
          <w:tcPr>
            <w:tcW w:w="1431" w:type="dxa"/>
            <w:shd w:val="clear" w:color="auto" w:fill="auto"/>
          </w:tcPr>
          <w:p w14:paraId="1F4EA2FF" w14:textId="77777777" w:rsidR="00CB15F5" w:rsidRPr="002D6FC0" w:rsidRDefault="00CB15F5" w:rsidP="00A94FE1">
            <w:pPr>
              <w:jc w:val="both"/>
            </w:pPr>
            <w:r w:rsidRPr="00ED639D">
              <w:rPr>
                <w:b/>
              </w:rPr>
              <w:t>Step 6:</w:t>
            </w:r>
            <w:r>
              <w:t xml:space="preserve"> PCI Coordinator</w:t>
            </w:r>
          </w:p>
        </w:tc>
        <w:tc>
          <w:tcPr>
            <w:tcW w:w="8296" w:type="dxa"/>
          </w:tcPr>
          <w:p w14:paraId="26CFC9CF" w14:textId="21FF3F25" w:rsidR="00CB15F5" w:rsidRPr="002D6FC0" w:rsidRDefault="00545A1A" w:rsidP="00A94FE1">
            <w:pPr>
              <w:jc w:val="both"/>
            </w:pPr>
            <w:r>
              <w:t>Alert the m</w:t>
            </w:r>
            <w:r w:rsidR="00CB15F5">
              <w:t>erchant and Business Officer when the account has been modified/closed. Close the support ticket.</w:t>
            </w:r>
          </w:p>
        </w:tc>
      </w:tr>
      <w:tr w:rsidR="00CB15F5" w14:paraId="29BB056B" w14:textId="77777777" w:rsidTr="00ED639D">
        <w:trPr>
          <w:trHeight w:val="259"/>
          <w:jc w:val="center"/>
        </w:trPr>
        <w:tc>
          <w:tcPr>
            <w:tcW w:w="1431" w:type="dxa"/>
            <w:shd w:val="clear" w:color="auto" w:fill="auto"/>
          </w:tcPr>
          <w:p w14:paraId="52496055" w14:textId="77777777" w:rsidR="00CB15F5" w:rsidRDefault="00CB15F5" w:rsidP="00A94FE1">
            <w:pPr>
              <w:jc w:val="both"/>
            </w:pPr>
            <w:r w:rsidRPr="00ED639D">
              <w:rPr>
                <w:b/>
              </w:rPr>
              <w:t>Step 7:</w:t>
            </w:r>
            <w:r>
              <w:t xml:space="preserve"> PCI Merchant Contact</w:t>
            </w:r>
          </w:p>
        </w:tc>
        <w:tc>
          <w:tcPr>
            <w:tcW w:w="8296" w:type="dxa"/>
          </w:tcPr>
          <w:p w14:paraId="64018793" w14:textId="77777777" w:rsidR="00CB15F5" w:rsidRDefault="00CB15F5" w:rsidP="00A94FE1">
            <w:pPr>
              <w:jc w:val="both"/>
            </w:pPr>
            <w:r>
              <w:t>Update the Declaration Document (if required).</w:t>
            </w:r>
          </w:p>
        </w:tc>
      </w:tr>
    </w:tbl>
    <w:p w14:paraId="2D6863ED" w14:textId="4F346C2E" w:rsidR="00CB15F5" w:rsidRDefault="00CB15F5" w:rsidP="00A94FE1">
      <w:pPr>
        <w:jc w:val="both"/>
      </w:pPr>
    </w:p>
    <w:p w14:paraId="2926EDD0" w14:textId="03ED14D9" w:rsidR="00CB15F5" w:rsidRDefault="00CB15F5" w:rsidP="00A94FE1">
      <w:pPr>
        <w:pStyle w:val="Heading2"/>
        <w:jc w:val="both"/>
      </w:pPr>
      <w:bookmarkStart w:id="14" w:name="_Toc2585495"/>
      <w:r>
        <w:t>3.0 Exemption Requests</w:t>
      </w:r>
      <w:bookmarkEnd w:id="14"/>
    </w:p>
    <w:p w14:paraId="3FABDC97" w14:textId="3DE24E33" w:rsidR="00CB15F5" w:rsidRDefault="00CB15F5" w:rsidP="00A94FE1">
      <w:pPr>
        <w:pStyle w:val="Heading3"/>
        <w:jc w:val="both"/>
      </w:pPr>
      <w:bookmarkStart w:id="15" w:name="_Toc2585496"/>
      <w:r>
        <w:t>3.1 Submitting a Payment Card Acceptance Policy Exemption Request to use a Non-Approved Payment Application or Service Provider</w:t>
      </w:r>
      <w:bookmarkEnd w:id="15"/>
    </w:p>
    <w:tbl>
      <w:tblPr>
        <w:tblW w:w="9817" w:type="dxa"/>
        <w:jc w:val="center"/>
        <w:tblCellMar>
          <w:top w:w="85" w:type="dxa"/>
          <w:left w:w="85" w:type="dxa"/>
          <w:bottom w:w="85" w:type="dxa"/>
          <w:right w:w="85" w:type="dxa"/>
        </w:tblCellMar>
        <w:tblLook w:val="01E0" w:firstRow="1" w:lastRow="1" w:firstColumn="1" w:lastColumn="1" w:noHBand="0" w:noVBand="0"/>
      </w:tblPr>
      <w:tblGrid>
        <w:gridCol w:w="1427"/>
        <w:gridCol w:w="8390"/>
      </w:tblGrid>
      <w:tr w:rsidR="00CB15F5" w:rsidRPr="001A4B00" w14:paraId="7980F9BB" w14:textId="77777777" w:rsidTr="00ED639D">
        <w:trPr>
          <w:trHeight w:val="259"/>
          <w:jc w:val="center"/>
        </w:trPr>
        <w:tc>
          <w:tcPr>
            <w:tcW w:w="1252" w:type="dxa"/>
            <w:shd w:val="clear" w:color="auto" w:fill="auto"/>
          </w:tcPr>
          <w:p w14:paraId="35CAC9EE" w14:textId="77777777" w:rsidR="00CB15F5" w:rsidRPr="001A4B00" w:rsidRDefault="00CB15F5" w:rsidP="00A94FE1">
            <w:pPr>
              <w:jc w:val="both"/>
            </w:pPr>
            <w:r w:rsidRPr="00ED639D">
              <w:rPr>
                <w:b/>
              </w:rPr>
              <w:t>Step 1:</w:t>
            </w:r>
            <w:r>
              <w:t xml:space="preserve"> Department, Faculty or Unit</w:t>
            </w:r>
          </w:p>
        </w:tc>
        <w:tc>
          <w:tcPr>
            <w:tcW w:w="8565" w:type="dxa"/>
          </w:tcPr>
          <w:p w14:paraId="15CE049A" w14:textId="204384BE" w:rsidR="00CB15F5" w:rsidRPr="008A370A" w:rsidRDefault="00CB15F5" w:rsidP="00A94FE1">
            <w:pPr>
              <w:jc w:val="both"/>
              <w:rPr>
                <w:i/>
              </w:rPr>
            </w:pPr>
            <w:r w:rsidRPr="001A4B00">
              <w:t xml:space="preserve">Understand their responsibilities as a future </w:t>
            </w:r>
            <w:r>
              <w:t>m</w:t>
            </w:r>
            <w:r w:rsidRPr="001A4B00">
              <w:t xml:space="preserve">erchant as outlined in </w:t>
            </w:r>
            <w:r>
              <w:t>the Payment Card Acceptance Policy</w:t>
            </w:r>
            <w:r w:rsidR="008A370A">
              <w:rPr>
                <w:i/>
              </w:rPr>
              <w:t>.</w:t>
            </w:r>
          </w:p>
          <w:p w14:paraId="1B9335BB" w14:textId="556A0FF5" w:rsidR="00CB15F5" w:rsidRPr="001A4B00" w:rsidRDefault="00CB15F5" w:rsidP="00A94FE1">
            <w:pPr>
              <w:jc w:val="both"/>
            </w:pPr>
            <w:r>
              <w:t>NOTE</w:t>
            </w:r>
            <w:r w:rsidRPr="001A4B00">
              <w:t xml:space="preserve">: The University will provide a core level of service and support to </w:t>
            </w:r>
            <w:r>
              <w:t>m</w:t>
            </w:r>
            <w:r w:rsidRPr="001A4B00">
              <w:t xml:space="preserve">erchants to facilitate the processing of </w:t>
            </w:r>
            <w:r>
              <w:t>payment card</w:t>
            </w:r>
            <w:r w:rsidRPr="001A4B00">
              <w:t xml:space="preserve"> transactions using the </w:t>
            </w:r>
            <w:r>
              <w:t>PCI network as per the Payment Card Acceptance Policy</w:t>
            </w:r>
            <w:r w:rsidRPr="001A4B00">
              <w:t xml:space="preserve">. Should a </w:t>
            </w:r>
            <w:r>
              <w:t>m</w:t>
            </w:r>
            <w:r w:rsidRPr="001A4B00">
              <w:t xml:space="preserve">erchant decide to use a specialized payment application for payment processing, the </w:t>
            </w:r>
            <w:r>
              <w:t>m</w:t>
            </w:r>
            <w:r w:rsidRPr="001A4B00">
              <w:t xml:space="preserve">erchant will be responsible for any additional costs and resources arising from the use and implementation of the payment application. In addition, the </w:t>
            </w:r>
            <w:r>
              <w:t>m</w:t>
            </w:r>
            <w:r w:rsidRPr="001A4B00">
              <w:t xml:space="preserve">erchant will also be responsible for any costs related to ensuring that the payment application </w:t>
            </w:r>
            <w:r w:rsidR="00A311EC">
              <w:t xml:space="preserve">and/or service provider </w:t>
            </w:r>
            <w:r w:rsidRPr="001A4B00">
              <w:t xml:space="preserve">is compliant with all payment card compliance standards.  </w:t>
            </w:r>
          </w:p>
        </w:tc>
      </w:tr>
      <w:tr w:rsidR="00CB15F5" w:rsidRPr="001A4B00" w14:paraId="115F6E98" w14:textId="77777777" w:rsidTr="00ED639D">
        <w:trPr>
          <w:trHeight w:val="259"/>
          <w:jc w:val="center"/>
        </w:trPr>
        <w:tc>
          <w:tcPr>
            <w:tcW w:w="1252" w:type="dxa"/>
            <w:shd w:val="clear" w:color="auto" w:fill="auto"/>
          </w:tcPr>
          <w:p w14:paraId="63F980FA" w14:textId="77777777" w:rsidR="00CB15F5" w:rsidRPr="001A4B00" w:rsidRDefault="00CB15F5" w:rsidP="00A94FE1">
            <w:pPr>
              <w:jc w:val="both"/>
            </w:pPr>
            <w:r w:rsidRPr="00ED639D">
              <w:rPr>
                <w:b/>
              </w:rPr>
              <w:t>Step 2:</w:t>
            </w:r>
            <w:r>
              <w:t xml:space="preserve"> Department, Faculty or Unit</w:t>
            </w:r>
          </w:p>
        </w:tc>
        <w:tc>
          <w:tcPr>
            <w:tcW w:w="8565" w:type="dxa"/>
          </w:tcPr>
          <w:p w14:paraId="75D5F55F" w14:textId="77777777" w:rsidR="00CB15F5" w:rsidRDefault="00CB15F5" w:rsidP="00A94FE1">
            <w:pPr>
              <w:jc w:val="both"/>
            </w:pPr>
            <w:r>
              <w:t>Email the PCI Coordinator and provide:</w:t>
            </w:r>
          </w:p>
          <w:p w14:paraId="1CAFB396" w14:textId="503B4844" w:rsidR="00175DBE" w:rsidRDefault="00CB15F5" w:rsidP="00A94FE1">
            <w:pPr>
              <w:pStyle w:val="ListParagraph"/>
              <w:numPr>
                <w:ilvl w:val="0"/>
                <w:numId w:val="12"/>
              </w:numPr>
              <w:jc w:val="both"/>
            </w:pPr>
            <w:r w:rsidRPr="001A4B00">
              <w:t xml:space="preserve">The </w:t>
            </w:r>
            <w:r>
              <w:t xml:space="preserve">proposed </w:t>
            </w:r>
            <w:r w:rsidR="00175DBE">
              <w:t>s</w:t>
            </w:r>
            <w:r w:rsidRPr="001A4B00">
              <w:t xml:space="preserve">ervice </w:t>
            </w:r>
            <w:r w:rsidR="00175DBE">
              <w:t>p</w:t>
            </w:r>
            <w:r w:rsidRPr="001A4B00">
              <w:t>rovider’s AOC</w:t>
            </w:r>
            <w:r w:rsidR="00175DBE">
              <w:t xml:space="preserve"> (if the request is to use a non-approved service provider)</w:t>
            </w:r>
          </w:p>
          <w:p w14:paraId="2C3335B3" w14:textId="0BC5224D" w:rsidR="00CB15F5" w:rsidRPr="001A4B00" w:rsidRDefault="00175DBE" w:rsidP="00A94FE1">
            <w:pPr>
              <w:pStyle w:val="ListParagraph"/>
              <w:numPr>
                <w:ilvl w:val="0"/>
                <w:numId w:val="12"/>
              </w:numPr>
              <w:jc w:val="both"/>
            </w:pPr>
            <w:r>
              <w:t>The</w:t>
            </w:r>
            <w:r w:rsidR="00CB15F5">
              <w:t xml:space="preserve"> </w:t>
            </w:r>
            <w:r>
              <w:t>payment a</w:t>
            </w:r>
            <w:r w:rsidR="00CB15F5">
              <w:t xml:space="preserve">pplication’s </w:t>
            </w:r>
            <w:r>
              <w:t>c</w:t>
            </w:r>
            <w:r w:rsidR="00CB15F5">
              <w:t>ertification of P</w:t>
            </w:r>
            <w:r w:rsidR="007847DD">
              <w:t>2PE, P</w:t>
            </w:r>
            <w:r w:rsidR="00CB15F5">
              <w:t>A DSS</w:t>
            </w:r>
            <w:r w:rsidR="007847DD">
              <w:t xml:space="preserve">, </w:t>
            </w:r>
            <w:r>
              <w:t>or validation of compliance with the PCI Software Security Framework (if the request is to use a non-approved payment application</w:t>
            </w:r>
            <w:proofErr w:type="gramStart"/>
            <w:r>
              <w:t>)</w:t>
            </w:r>
            <w:r w:rsidR="00CB15F5" w:rsidRPr="001A4B00">
              <w:t>;</w:t>
            </w:r>
            <w:proofErr w:type="gramEnd"/>
          </w:p>
          <w:p w14:paraId="439FD4FE" w14:textId="77777777" w:rsidR="00CB15F5" w:rsidRDefault="00CB15F5" w:rsidP="00A94FE1">
            <w:pPr>
              <w:pStyle w:val="ListParagraph"/>
              <w:numPr>
                <w:ilvl w:val="0"/>
                <w:numId w:val="12"/>
              </w:numPr>
              <w:jc w:val="both"/>
            </w:pPr>
            <w:r>
              <w:t xml:space="preserve">A copy of the draft contract (prior to signing) that outlines who is responsible for PCI requirements. The service provider </w:t>
            </w:r>
            <w:r w:rsidRPr="00953883">
              <w:t xml:space="preserve">must be willing to indemnify the University for all costs related to a potential or actual security breach </w:t>
            </w:r>
            <w:r w:rsidRPr="00953883">
              <w:lastRenderedPageBreak/>
              <w:t xml:space="preserve">associated with the processing, storing, or transmission of </w:t>
            </w:r>
            <w:r>
              <w:t xml:space="preserve">payment card </w:t>
            </w:r>
            <w:proofErr w:type="gramStart"/>
            <w:r>
              <w:t>data;</w:t>
            </w:r>
            <w:proofErr w:type="gramEnd"/>
          </w:p>
          <w:p w14:paraId="65BADA41" w14:textId="77777777" w:rsidR="00CB15F5" w:rsidRDefault="00CB15F5" w:rsidP="00A94FE1">
            <w:pPr>
              <w:pStyle w:val="ListParagraph"/>
              <w:numPr>
                <w:ilvl w:val="0"/>
                <w:numId w:val="12"/>
              </w:numPr>
              <w:jc w:val="both"/>
            </w:pPr>
            <w:r>
              <w:t xml:space="preserve">A description of the proposed payment </w:t>
            </w:r>
            <w:proofErr w:type="gramStart"/>
            <w:r>
              <w:t>stream;</w:t>
            </w:r>
            <w:proofErr w:type="gramEnd"/>
          </w:p>
          <w:p w14:paraId="4C53E27A" w14:textId="77777777" w:rsidR="00CB15F5" w:rsidRDefault="00CB15F5" w:rsidP="00A94FE1">
            <w:pPr>
              <w:pStyle w:val="ListParagraph"/>
              <w:numPr>
                <w:ilvl w:val="0"/>
                <w:numId w:val="12"/>
              </w:numPr>
              <w:jc w:val="both"/>
            </w:pPr>
            <w:r>
              <w:t xml:space="preserve">A summary of a costs associated with the proposed payment </w:t>
            </w:r>
            <w:proofErr w:type="gramStart"/>
            <w:r>
              <w:t>stream;</w:t>
            </w:r>
            <w:proofErr w:type="gramEnd"/>
          </w:p>
          <w:p w14:paraId="49244D9E" w14:textId="77777777" w:rsidR="00CB15F5" w:rsidRDefault="00CB15F5" w:rsidP="00A94FE1">
            <w:pPr>
              <w:pStyle w:val="ListParagraph"/>
              <w:numPr>
                <w:ilvl w:val="0"/>
                <w:numId w:val="12"/>
              </w:numPr>
              <w:jc w:val="both"/>
            </w:pPr>
            <w:r>
              <w:t xml:space="preserve">An ATO from </w:t>
            </w:r>
            <w:proofErr w:type="gramStart"/>
            <w:r>
              <w:t>ITS;</w:t>
            </w:r>
            <w:proofErr w:type="gramEnd"/>
          </w:p>
          <w:p w14:paraId="10C28470" w14:textId="21750133" w:rsidR="00CB15F5" w:rsidRPr="001A4B00" w:rsidRDefault="00CB15F5" w:rsidP="00A94FE1">
            <w:pPr>
              <w:pStyle w:val="ListParagraph"/>
              <w:numPr>
                <w:ilvl w:val="0"/>
                <w:numId w:val="12"/>
              </w:numPr>
              <w:jc w:val="both"/>
            </w:pPr>
            <w:r>
              <w:t xml:space="preserve">A completed </w:t>
            </w:r>
            <w:r w:rsidRPr="00401B20">
              <w:t>Payment Card Acceptance Policy Exemption Request form</w:t>
            </w:r>
            <w:r>
              <w:t>.</w:t>
            </w:r>
          </w:p>
        </w:tc>
      </w:tr>
      <w:tr w:rsidR="00CB15F5" w14:paraId="2E974334" w14:textId="77777777" w:rsidTr="00ED639D">
        <w:trPr>
          <w:trHeight w:val="259"/>
          <w:jc w:val="center"/>
        </w:trPr>
        <w:tc>
          <w:tcPr>
            <w:tcW w:w="1252" w:type="dxa"/>
            <w:shd w:val="clear" w:color="auto" w:fill="auto"/>
          </w:tcPr>
          <w:p w14:paraId="15226FA6" w14:textId="77777777" w:rsidR="00CB15F5" w:rsidRPr="001A4B00" w:rsidRDefault="00CB15F5" w:rsidP="00A94FE1">
            <w:pPr>
              <w:jc w:val="both"/>
            </w:pPr>
            <w:r w:rsidRPr="00ED639D">
              <w:rPr>
                <w:b/>
              </w:rPr>
              <w:lastRenderedPageBreak/>
              <w:t>Step 3:</w:t>
            </w:r>
            <w:r>
              <w:t xml:space="preserve"> PCI Coordinator</w:t>
            </w:r>
          </w:p>
        </w:tc>
        <w:tc>
          <w:tcPr>
            <w:tcW w:w="8565" w:type="dxa"/>
          </w:tcPr>
          <w:p w14:paraId="6206A829" w14:textId="704B5E56" w:rsidR="00CB15F5" w:rsidRDefault="00CB15F5" w:rsidP="00A94FE1">
            <w:pPr>
              <w:jc w:val="both"/>
            </w:pPr>
            <w:r>
              <w:t xml:space="preserve">Conduct a review of the proposed payment stream with the department, </w:t>
            </w:r>
            <w:proofErr w:type="gramStart"/>
            <w:r>
              <w:t>faculty</w:t>
            </w:r>
            <w:proofErr w:type="gramEnd"/>
            <w:r>
              <w:t xml:space="preserve"> or unit. Review documents provided and either deny, request revisions and/or additi</w:t>
            </w:r>
            <w:r w:rsidR="008A370A">
              <w:t>onal documentation, or approve.</w:t>
            </w:r>
          </w:p>
          <w:p w14:paraId="7F3E26D9" w14:textId="35402FDB" w:rsidR="00CB15F5" w:rsidRDefault="00CB15F5" w:rsidP="00A94FE1">
            <w:pPr>
              <w:jc w:val="both"/>
            </w:pPr>
            <w:r>
              <w:t>In cases where escalation is necessary, escalate to the CPPSC for guidance and/or</w:t>
            </w:r>
            <w:r w:rsidR="008A370A">
              <w:t xml:space="preserve"> authorization.</w:t>
            </w:r>
          </w:p>
          <w:p w14:paraId="61182777" w14:textId="4D64F268" w:rsidR="00CB15F5" w:rsidRDefault="00CB15F5" w:rsidP="00A94FE1">
            <w:pPr>
              <w:jc w:val="both"/>
            </w:pPr>
            <w:r>
              <w:t>Advise the department, faculty</w:t>
            </w:r>
            <w:r w:rsidR="00895FCB">
              <w:t>,</w:t>
            </w:r>
            <w:r>
              <w:t xml:space="preserve"> or unit of any equipment that needs to be procured to operate the new merchant account (ex. PCI terminal, POS devices). The merchant is responsible for the procurement of all equipment required to operate a m</w:t>
            </w:r>
            <w:r w:rsidR="008A370A">
              <w:t>erchant account.</w:t>
            </w:r>
          </w:p>
          <w:p w14:paraId="76AEE515" w14:textId="77777777" w:rsidR="00CB15F5" w:rsidRDefault="00CB15F5" w:rsidP="00A94FE1">
            <w:pPr>
              <w:jc w:val="both"/>
            </w:pPr>
            <w:r w:rsidRPr="00AD6A6F">
              <w:t xml:space="preserve">Pre-fill the Declaration Document for the department, </w:t>
            </w:r>
            <w:proofErr w:type="gramStart"/>
            <w:r w:rsidRPr="00AD6A6F">
              <w:t>faculty</w:t>
            </w:r>
            <w:proofErr w:type="gramEnd"/>
            <w:r w:rsidRPr="00AD6A6F">
              <w:t xml:space="preserve"> or unit.</w:t>
            </w:r>
          </w:p>
        </w:tc>
      </w:tr>
      <w:tr w:rsidR="00CB15F5" w14:paraId="2AFA2214" w14:textId="77777777" w:rsidTr="00ED639D">
        <w:trPr>
          <w:trHeight w:val="259"/>
          <w:jc w:val="center"/>
        </w:trPr>
        <w:tc>
          <w:tcPr>
            <w:tcW w:w="1252" w:type="dxa"/>
            <w:shd w:val="clear" w:color="auto" w:fill="auto"/>
          </w:tcPr>
          <w:p w14:paraId="7BF9DD01" w14:textId="384DD0FC" w:rsidR="00CB15F5" w:rsidRPr="00780A88" w:rsidRDefault="00CB15F5" w:rsidP="00A94FE1">
            <w:pPr>
              <w:jc w:val="both"/>
            </w:pPr>
            <w:r w:rsidRPr="00ED639D">
              <w:rPr>
                <w:b/>
              </w:rPr>
              <w:t>Step 4</w:t>
            </w:r>
            <w:r w:rsidR="00780A88">
              <w:rPr>
                <w:b/>
              </w:rPr>
              <w:t xml:space="preserve">: </w:t>
            </w:r>
            <w:r w:rsidR="00780A88">
              <w:t>Multiple</w:t>
            </w:r>
          </w:p>
        </w:tc>
        <w:tc>
          <w:tcPr>
            <w:tcW w:w="8565" w:type="dxa"/>
          </w:tcPr>
          <w:p w14:paraId="16B3AA87" w14:textId="22EA3D64" w:rsidR="00CB15F5" w:rsidRDefault="00CB15F5" w:rsidP="00A94FE1">
            <w:pPr>
              <w:jc w:val="both"/>
            </w:pPr>
            <w:r>
              <w:t xml:space="preserve">Proceed with steps 4-8 as outlined in </w:t>
            </w:r>
            <w:r w:rsidR="009B35BA">
              <w:t xml:space="preserve">section </w:t>
            </w:r>
            <w:r w:rsidR="00895FCB">
              <w:t xml:space="preserve">2.1 </w:t>
            </w:r>
            <w:r>
              <w:t>Establishing a Merchant Acc</w:t>
            </w:r>
            <w:r w:rsidR="008A370A">
              <w:t>ount with an Approved Acquirer.</w:t>
            </w:r>
          </w:p>
          <w:p w14:paraId="05A1CB1F" w14:textId="77777777" w:rsidR="00CB15F5" w:rsidRDefault="00CB15F5" w:rsidP="00A94FE1">
            <w:pPr>
              <w:jc w:val="both"/>
            </w:pPr>
            <w:r>
              <w:t>NOTE: Financial Services will not facilitate the delivery of any equipment for specialized payment applications or service providers.</w:t>
            </w:r>
          </w:p>
        </w:tc>
      </w:tr>
    </w:tbl>
    <w:p w14:paraId="0BB66C73" w14:textId="4C0FD1AD" w:rsidR="00CB15F5" w:rsidRDefault="00CB15F5" w:rsidP="00A94FE1">
      <w:pPr>
        <w:jc w:val="both"/>
      </w:pPr>
    </w:p>
    <w:p w14:paraId="5FB5B987" w14:textId="11479DF7" w:rsidR="00CB15F5" w:rsidRDefault="00CB15F5" w:rsidP="00A94FE1">
      <w:pPr>
        <w:pStyle w:val="Heading3"/>
        <w:jc w:val="both"/>
      </w:pPr>
      <w:bookmarkStart w:id="16" w:name="_Toc2585497"/>
      <w:r>
        <w:t>3.</w:t>
      </w:r>
      <w:r w:rsidR="00E87E55">
        <w:t>2</w:t>
      </w:r>
      <w:r>
        <w:t xml:space="preserve"> Modifications and Terminations to Payment Applications and Service Provider Agreements</w:t>
      </w:r>
      <w:bookmarkEnd w:id="16"/>
    </w:p>
    <w:tbl>
      <w:tblPr>
        <w:tblW w:w="9827" w:type="dxa"/>
        <w:jc w:val="center"/>
        <w:tblCellMar>
          <w:top w:w="85" w:type="dxa"/>
          <w:left w:w="85" w:type="dxa"/>
          <w:bottom w:w="85" w:type="dxa"/>
          <w:right w:w="85" w:type="dxa"/>
        </w:tblCellMar>
        <w:tblLook w:val="01E0" w:firstRow="1" w:lastRow="1" w:firstColumn="1" w:lastColumn="1" w:noHBand="0" w:noVBand="0"/>
      </w:tblPr>
      <w:tblGrid>
        <w:gridCol w:w="1336"/>
        <w:gridCol w:w="8491"/>
      </w:tblGrid>
      <w:tr w:rsidR="00CB15F5" w:rsidRPr="001A4B00" w14:paraId="60A68D1A" w14:textId="77777777" w:rsidTr="00ED639D">
        <w:trPr>
          <w:trHeight w:val="259"/>
          <w:jc w:val="center"/>
        </w:trPr>
        <w:tc>
          <w:tcPr>
            <w:tcW w:w="1251" w:type="dxa"/>
            <w:shd w:val="clear" w:color="auto" w:fill="auto"/>
          </w:tcPr>
          <w:p w14:paraId="3DCB8C3A" w14:textId="77777777" w:rsidR="00CB15F5" w:rsidRPr="00C864D7" w:rsidRDefault="00CB15F5" w:rsidP="00A94FE1">
            <w:pPr>
              <w:jc w:val="both"/>
            </w:pPr>
            <w:r w:rsidRPr="00ED639D">
              <w:rPr>
                <w:b/>
              </w:rPr>
              <w:t>Step 1:</w:t>
            </w:r>
            <w:r>
              <w:t xml:space="preserve"> PCI Merchant Contact</w:t>
            </w:r>
          </w:p>
        </w:tc>
        <w:tc>
          <w:tcPr>
            <w:tcW w:w="8576" w:type="dxa"/>
          </w:tcPr>
          <w:p w14:paraId="44CF52C1" w14:textId="77777777" w:rsidR="00CB15F5" w:rsidRPr="001A4B00" w:rsidRDefault="00CB15F5" w:rsidP="00A94FE1">
            <w:pPr>
              <w:jc w:val="both"/>
            </w:pPr>
            <w:r>
              <w:t>Email the PCI Coordinator and Business Officer about the modification or termination of the provider agreement.</w:t>
            </w:r>
          </w:p>
        </w:tc>
      </w:tr>
      <w:tr w:rsidR="00CB15F5" w:rsidRPr="005611A4" w14:paraId="2439C54A" w14:textId="77777777" w:rsidTr="00ED639D">
        <w:trPr>
          <w:trHeight w:val="259"/>
          <w:jc w:val="center"/>
        </w:trPr>
        <w:tc>
          <w:tcPr>
            <w:tcW w:w="1251" w:type="dxa"/>
            <w:shd w:val="clear" w:color="auto" w:fill="auto"/>
          </w:tcPr>
          <w:p w14:paraId="70801A39" w14:textId="77777777" w:rsidR="00CB15F5" w:rsidRPr="008A1827" w:rsidRDefault="00CB15F5" w:rsidP="00A94FE1">
            <w:pPr>
              <w:jc w:val="both"/>
            </w:pPr>
            <w:r w:rsidRPr="00ED639D">
              <w:rPr>
                <w:b/>
              </w:rPr>
              <w:t>Step 2:</w:t>
            </w:r>
            <w:r>
              <w:t xml:space="preserve"> PCI Coordinator</w:t>
            </w:r>
          </w:p>
        </w:tc>
        <w:tc>
          <w:tcPr>
            <w:tcW w:w="8576" w:type="dxa"/>
          </w:tcPr>
          <w:p w14:paraId="7D7AFF9A" w14:textId="77777777" w:rsidR="00CB15F5" w:rsidRDefault="00CB15F5" w:rsidP="00A94FE1">
            <w:pPr>
              <w:jc w:val="both"/>
            </w:pPr>
            <w:r>
              <w:t>Review the email and determine next steps. If necessary:</w:t>
            </w:r>
          </w:p>
          <w:p w14:paraId="72ACC3BC" w14:textId="77777777" w:rsidR="00CB15F5" w:rsidRDefault="00CB15F5" w:rsidP="00A94FE1">
            <w:pPr>
              <w:pStyle w:val="ListParagraph"/>
              <w:numPr>
                <w:ilvl w:val="0"/>
                <w:numId w:val="29"/>
              </w:numPr>
              <w:jc w:val="both"/>
            </w:pPr>
            <w:r>
              <w:t>Request the department receive an updated SPRA to reflect the changes</w:t>
            </w:r>
          </w:p>
          <w:p w14:paraId="68DDE8D3" w14:textId="77777777" w:rsidR="00CB15F5" w:rsidRPr="005611A4" w:rsidRDefault="00CB15F5" w:rsidP="00A94FE1">
            <w:pPr>
              <w:pStyle w:val="ListParagraph"/>
              <w:numPr>
                <w:ilvl w:val="0"/>
                <w:numId w:val="29"/>
              </w:numPr>
              <w:jc w:val="both"/>
            </w:pPr>
            <w:r>
              <w:t>Submit</w:t>
            </w:r>
            <w:r w:rsidRPr="005611A4">
              <w:t xml:space="preserve"> </w:t>
            </w:r>
            <w:r>
              <w:t>a support ticket</w:t>
            </w:r>
            <w:r w:rsidRPr="005611A4">
              <w:t xml:space="preserve"> to move/de-provision PCI jacks, PCI terminals, DSL modems, </w:t>
            </w:r>
            <w:r>
              <w:t>PCI User IDs</w:t>
            </w:r>
            <w:r w:rsidRPr="005611A4">
              <w:t>, etc.</w:t>
            </w:r>
          </w:p>
        </w:tc>
      </w:tr>
      <w:tr w:rsidR="00CB15F5" w14:paraId="0C9E7B0B" w14:textId="77777777" w:rsidTr="00ED639D">
        <w:trPr>
          <w:trHeight w:val="259"/>
          <w:jc w:val="center"/>
        </w:trPr>
        <w:tc>
          <w:tcPr>
            <w:tcW w:w="1251" w:type="dxa"/>
            <w:shd w:val="clear" w:color="auto" w:fill="auto"/>
          </w:tcPr>
          <w:p w14:paraId="57526B2B" w14:textId="77777777" w:rsidR="00CB15F5" w:rsidRDefault="00CB15F5" w:rsidP="00A94FE1">
            <w:pPr>
              <w:jc w:val="both"/>
            </w:pPr>
            <w:r w:rsidRPr="00ED639D">
              <w:rPr>
                <w:b/>
              </w:rPr>
              <w:t>Step 3:</w:t>
            </w:r>
            <w:r>
              <w:t xml:space="preserve"> PCI Merchant Contact</w:t>
            </w:r>
          </w:p>
        </w:tc>
        <w:tc>
          <w:tcPr>
            <w:tcW w:w="8576" w:type="dxa"/>
          </w:tcPr>
          <w:p w14:paraId="0FE62ECF" w14:textId="77777777" w:rsidR="00CB15F5" w:rsidRDefault="00CB15F5" w:rsidP="00A94FE1">
            <w:pPr>
              <w:jc w:val="both"/>
            </w:pPr>
            <w:r>
              <w:t>Update the Declaration Document (if applicable).</w:t>
            </w:r>
          </w:p>
        </w:tc>
      </w:tr>
    </w:tbl>
    <w:p w14:paraId="687D3121" w14:textId="472B86CA" w:rsidR="00CB15F5" w:rsidRDefault="00CB15F5" w:rsidP="00A94FE1">
      <w:pPr>
        <w:jc w:val="both"/>
      </w:pPr>
    </w:p>
    <w:p w14:paraId="6BDED816" w14:textId="261528DC" w:rsidR="00CB15F5" w:rsidRDefault="00CB15F5" w:rsidP="00A94FE1">
      <w:pPr>
        <w:pStyle w:val="Heading2"/>
        <w:jc w:val="both"/>
      </w:pPr>
      <w:bookmarkStart w:id="17" w:name="_Toc2585498"/>
      <w:r>
        <w:lastRenderedPageBreak/>
        <w:t>4.0 User Access</w:t>
      </w:r>
      <w:bookmarkEnd w:id="17"/>
    </w:p>
    <w:p w14:paraId="6B25B1ED" w14:textId="38379D28" w:rsidR="00CB15F5" w:rsidRDefault="00CB15F5" w:rsidP="00A94FE1">
      <w:pPr>
        <w:pStyle w:val="Heading3"/>
        <w:jc w:val="both"/>
      </w:pPr>
      <w:bookmarkStart w:id="18" w:name="_Toc2585499"/>
      <w:r>
        <w:t>4.1 New User (Employee, Contractor, Service Providers acting on behalf of Queen’s) Access</w:t>
      </w:r>
      <w:bookmarkEnd w:id="18"/>
    </w:p>
    <w:tbl>
      <w:tblPr>
        <w:tblW w:w="9907" w:type="dxa"/>
        <w:jc w:val="center"/>
        <w:tblCellMar>
          <w:top w:w="85" w:type="dxa"/>
          <w:left w:w="85" w:type="dxa"/>
          <w:bottom w:w="85" w:type="dxa"/>
          <w:right w:w="85" w:type="dxa"/>
        </w:tblCellMar>
        <w:tblLook w:val="01E0" w:firstRow="1" w:lastRow="1" w:firstColumn="1" w:lastColumn="1" w:noHBand="0" w:noVBand="0"/>
      </w:tblPr>
      <w:tblGrid>
        <w:gridCol w:w="1336"/>
        <w:gridCol w:w="8571"/>
      </w:tblGrid>
      <w:tr w:rsidR="00CB15F5" w:rsidRPr="00950A4F" w14:paraId="13D69DF7" w14:textId="77777777" w:rsidTr="00ED639D">
        <w:trPr>
          <w:trHeight w:val="259"/>
          <w:jc w:val="center"/>
        </w:trPr>
        <w:tc>
          <w:tcPr>
            <w:tcW w:w="1071" w:type="dxa"/>
            <w:shd w:val="clear" w:color="auto" w:fill="auto"/>
          </w:tcPr>
          <w:p w14:paraId="70A66DD5" w14:textId="77777777" w:rsidR="00CB15F5" w:rsidRPr="008A6EF3" w:rsidRDefault="00CB15F5" w:rsidP="00A94FE1">
            <w:pPr>
              <w:jc w:val="both"/>
            </w:pPr>
            <w:r w:rsidRPr="00ED639D">
              <w:rPr>
                <w:b/>
              </w:rPr>
              <w:t>Step 1:</w:t>
            </w:r>
            <w:r>
              <w:t xml:space="preserve"> PCI Merchant Contact</w:t>
            </w:r>
          </w:p>
        </w:tc>
        <w:tc>
          <w:tcPr>
            <w:tcW w:w="8836" w:type="dxa"/>
          </w:tcPr>
          <w:p w14:paraId="3BD07CDD" w14:textId="77777777" w:rsidR="00CB15F5" w:rsidRDefault="00CB15F5" w:rsidP="00A94FE1">
            <w:pPr>
              <w:jc w:val="both"/>
            </w:pPr>
            <w:r>
              <w:t xml:space="preserve">Payment card data should be shared with users on a </w:t>
            </w:r>
            <w:r>
              <w:rPr>
                <w:i/>
              </w:rPr>
              <w:t>need-to-know</w:t>
            </w:r>
            <w:r>
              <w:t xml:space="preserve"> basis to perform their job duties. If it is determined that a user requires access to payment card data, a request should be emailed to the PCI Coordinator. Use the following qualifying questions to determine the level of access needed:</w:t>
            </w:r>
          </w:p>
          <w:p w14:paraId="4853071F" w14:textId="77777777" w:rsidR="00CB15F5" w:rsidRDefault="00CB15F5" w:rsidP="00A94FE1">
            <w:pPr>
              <w:pStyle w:val="ListParagraph"/>
              <w:numPr>
                <w:ilvl w:val="0"/>
                <w:numId w:val="15"/>
              </w:numPr>
              <w:jc w:val="both"/>
            </w:pPr>
            <w:r>
              <w:t>Will the user be interacting with payment card data over the phone?</w:t>
            </w:r>
          </w:p>
          <w:p w14:paraId="34450C20" w14:textId="77777777" w:rsidR="00CB15F5" w:rsidRDefault="00CB15F5" w:rsidP="00A94FE1">
            <w:pPr>
              <w:pStyle w:val="ListParagraph"/>
              <w:numPr>
                <w:ilvl w:val="1"/>
                <w:numId w:val="15"/>
              </w:numPr>
              <w:jc w:val="both"/>
            </w:pPr>
            <w:r>
              <w:t>If yes, do they then process the payment? See point 3.</w:t>
            </w:r>
          </w:p>
          <w:p w14:paraId="57EEF5A0" w14:textId="77777777" w:rsidR="00CB15F5" w:rsidRDefault="00CB15F5" w:rsidP="00A94FE1">
            <w:pPr>
              <w:pStyle w:val="ListParagraph"/>
              <w:numPr>
                <w:ilvl w:val="1"/>
                <w:numId w:val="15"/>
              </w:numPr>
              <w:jc w:val="both"/>
            </w:pPr>
            <w:r>
              <w:t>If no, no access is required.</w:t>
            </w:r>
          </w:p>
          <w:p w14:paraId="0551D857" w14:textId="77777777" w:rsidR="00CB15F5" w:rsidRDefault="00CB15F5" w:rsidP="00A94FE1">
            <w:pPr>
              <w:pStyle w:val="ListParagraph"/>
              <w:numPr>
                <w:ilvl w:val="0"/>
                <w:numId w:val="15"/>
              </w:numPr>
              <w:jc w:val="both"/>
            </w:pPr>
            <w:r>
              <w:t>Will the user be handling payment card data in written form?</w:t>
            </w:r>
          </w:p>
          <w:p w14:paraId="2FE53395" w14:textId="77777777" w:rsidR="00CB15F5" w:rsidRDefault="00CB15F5" w:rsidP="00A94FE1">
            <w:pPr>
              <w:pStyle w:val="ListParagraph"/>
              <w:numPr>
                <w:ilvl w:val="1"/>
                <w:numId w:val="15"/>
              </w:numPr>
              <w:jc w:val="both"/>
            </w:pPr>
            <w:r>
              <w:t>If yes, do they then process the payment? See point 3.</w:t>
            </w:r>
          </w:p>
          <w:p w14:paraId="06F8BAE4" w14:textId="77777777" w:rsidR="00CB15F5" w:rsidRPr="008A6EF3" w:rsidRDefault="00CB15F5" w:rsidP="00A94FE1">
            <w:pPr>
              <w:pStyle w:val="ListParagraph"/>
              <w:numPr>
                <w:ilvl w:val="1"/>
                <w:numId w:val="15"/>
              </w:numPr>
              <w:jc w:val="both"/>
            </w:pPr>
            <w:r>
              <w:t>If no, no access is required.</w:t>
            </w:r>
          </w:p>
          <w:p w14:paraId="0F26758D" w14:textId="77777777" w:rsidR="00CB15F5" w:rsidRDefault="00CB15F5" w:rsidP="00A94FE1">
            <w:pPr>
              <w:pStyle w:val="ListParagraph"/>
              <w:numPr>
                <w:ilvl w:val="0"/>
                <w:numId w:val="15"/>
              </w:numPr>
              <w:jc w:val="both"/>
            </w:pPr>
            <w:r>
              <w:t>Will the user be processing payment card data using a PCI terminal?</w:t>
            </w:r>
          </w:p>
          <w:p w14:paraId="517868F4" w14:textId="77777777" w:rsidR="00CB15F5" w:rsidRDefault="00CB15F5" w:rsidP="00A94FE1">
            <w:pPr>
              <w:pStyle w:val="ListParagraph"/>
              <w:numPr>
                <w:ilvl w:val="1"/>
                <w:numId w:val="15"/>
              </w:numPr>
              <w:jc w:val="both"/>
            </w:pPr>
            <w:r>
              <w:t>If yes:</w:t>
            </w:r>
          </w:p>
          <w:p w14:paraId="135F4477" w14:textId="77777777" w:rsidR="00CB15F5" w:rsidRDefault="00CB15F5" w:rsidP="00A94FE1">
            <w:pPr>
              <w:pStyle w:val="ListParagraph"/>
              <w:numPr>
                <w:ilvl w:val="2"/>
                <w:numId w:val="15"/>
              </w:numPr>
              <w:jc w:val="both"/>
            </w:pPr>
            <w:r>
              <w:t>Ensure appropriate training is completed and Card Payment Security &amp; Ethics Agreement is signed.</w:t>
            </w:r>
          </w:p>
          <w:p w14:paraId="48D24B51" w14:textId="77777777" w:rsidR="00CB15F5" w:rsidRDefault="00CB15F5" w:rsidP="00A94FE1">
            <w:pPr>
              <w:pStyle w:val="ListParagraph"/>
              <w:numPr>
                <w:ilvl w:val="2"/>
                <w:numId w:val="15"/>
              </w:numPr>
              <w:jc w:val="both"/>
            </w:pPr>
            <w:r>
              <w:t>Request a PCI User ID and access to the virtual terminal.</w:t>
            </w:r>
          </w:p>
          <w:p w14:paraId="46A04435" w14:textId="77777777" w:rsidR="00CB15F5" w:rsidRPr="00950A4F" w:rsidRDefault="00CB15F5" w:rsidP="00A94FE1">
            <w:pPr>
              <w:pStyle w:val="ListParagraph"/>
              <w:numPr>
                <w:ilvl w:val="1"/>
                <w:numId w:val="15"/>
              </w:numPr>
              <w:jc w:val="both"/>
            </w:pPr>
            <w:r>
              <w:t>If no, see items 4-7.</w:t>
            </w:r>
          </w:p>
          <w:p w14:paraId="0D6580AB" w14:textId="77777777" w:rsidR="00CB15F5" w:rsidRDefault="00CB15F5" w:rsidP="00A94FE1">
            <w:pPr>
              <w:pStyle w:val="ListParagraph"/>
              <w:numPr>
                <w:ilvl w:val="0"/>
                <w:numId w:val="15"/>
              </w:numPr>
              <w:jc w:val="both"/>
            </w:pPr>
            <w:r>
              <w:t>Will the user be processing refunds on a PCI terminal?</w:t>
            </w:r>
          </w:p>
          <w:p w14:paraId="0A05EAAE" w14:textId="77777777" w:rsidR="00CB15F5" w:rsidRDefault="00CB15F5" w:rsidP="00A94FE1">
            <w:pPr>
              <w:pStyle w:val="ListParagraph"/>
              <w:numPr>
                <w:ilvl w:val="1"/>
                <w:numId w:val="15"/>
              </w:numPr>
              <w:jc w:val="both"/>
            </w:pPr>
            <w:r>
              <w:t>If yes:</w:t>
            </w:r>
          </w:p>
          <w:p w14:paraId="2008BE6C" w14:textId="77777777" w:rsidR="00CB15F5" w:rsidRDefault="00CB15F5" w:rsidP="00A94FE1">
            <w:pPr>
              <w:pStyle w:val="ListParagraph"/>
              <w:numPr>
                <w:ilvl w:val="2"/>
                <w:numId w:val="15"/>
              </w:numPr>
              <w:jc w:val="both"/>
            </w:pPr>
            <w:r>
              <w:t>Ensure appropriate training is completed and Card Payment Security &amp; Ethics Agreement is signed.</w:t>
            </w:r>
          </w:p>
          <w:p w14:paraId="0A7E0B55" w14:textId="77777777" w:rsidR="00CB15F5" w:rsidRDefault="00CB15F5" w:rsidP="00A94FE1">
            <w:pPr>
              <w:pStyle w:val="ListParagraph"/>
              <w:numPr>
                <w:ilvl w:val="2"/>
                <w:numId w:val="15"/>
              </w:numPr>
              <w:jc w:val="both"/>
            </w:pPr>
            <w:r>
              <w:t>Request a PCI User ID and access to the virtual terminal.</w:t>
            </w:r>
          </w:p>
          <w:p w14:paraId="2085640B" w14:textId="77777777" w:rsidR="00CB15F5" w:rsidRPr="005611A4" w:rsidRDefault="00CB15F5" w:rsidP="00A94FE1">
            <w:pPr>
              <w:pStyle w:val="ListParagraph"/>
              <w:numPr>
                <w:ilvl w:val="1"/>
                <w:numId w:val="15"/>
              </w:numPr>
              <w:jc w:val="both"/>
            </w:pPr>
            <w:r>
              <w:t>If no, see items 5-7.</w:t>
            </w:r>
          </w:p>
          <w:p w14:paraId="385BBB42" w14:textId="77777777" w:rsidR="00CB15F5" w:rsidRDefault="00CB15F5" w:rsidP="00A94FE1">
            <w:pPr>
              <w:pStyle w:val="ListParagraph"/>
              <w:numPr>
                <w:ilvl w:val="0"/>
                <w:numId w:val="15"/>
              </w:numPr>
              <w:jc w:val="both"/>
            </w:pPr>
            <w:r>
              <w:t>Will the user be ONLY processing refunds where the PAN is masked (with no access to payment card data)?</w:t>
            </w:r>
          </w:p>
          <w:p w14:paraId="322BB4D6" w14:textId="77777777" w:rsidR="00CB15F5" w:rsidRDefault="00CB15F5" w:rsidP="00A94FE1">
            <w:pPr>
              <w:pStyle w:val="ListParagraph"/>
              <w:numPr>
                <w:ilvl w:val="1"/>
                <w:numId w:val="15"/>
              </w:numPr>
              <w:jc w:val="both"/>
            </w:pPr>
            <w:r>
              <w:t>If yes:</w:t>
            </w:r>
          </w:p>
          <w:p w14:paraId="51C531C2" w14:textId="77777777" w:rsidR="00CB15F5" w:rsidRDefault="00CB15F5" w:rsidP="00A94FE1">
            <w:pPr>
              <w:pStyle w:val="ListParagraph"/>
              <w:numPr>
                <w:ilvl w:val="2"/>
                <w:numId w:val="15"/>
              </w:numPr>
              <w:jc w:val="both"/>
            </w:pPr>
            <w:r>
              <w:t>Ensure appropriate training is completed and Card Payment Security &amp; Ethics Agreement is signed.</w:t>
            </w:r>
          </w:p>
          <w:p w14:paraId="1512CC46" w14:textId="77777777" w:rsidR="00CB15F5" w:rsidRDefault="00CB15F5" w:rsidP="00A94FE1">
            <w:pPr>
              <w:pStyle w:val="ListParagraph"/>
              <w:numPr>
                <w:ilvl w:val="2"/>
                <w:numId w:val="15"/>
              </w:numPr>
              <w:jc w:val="both"/>
            </w:pPr>
            <w:r>
              <w:t>Request access to the specific product where refunds will be performed.</w:t>
            </w:r>
          </w:p>
          <w:p w14:paraId="0D336962" w14:textId="77777777" w:rsidR="00CB15F5" w:rsidRPr="00950A4F" w:rsidRDefault="00CB15F5" w:rsidP="00A94FE1">
            <w:pPr>
              <w:pStyle w:val="ListParagraph"/>
              <w:numPr>
                <w:ilvl w:val="1"/>
                <w:numId w:val="15"/>
              </w:numPr>
              <w:jc w:val="both"/>
            </w:pPr>
            <w:r>
              <w:t>If no, see item 6-7.</w:t>
            </w:r>
          </w:p>
          <w:p w14:paraId="085E80D0" w14:textId="77777777" w:rsidR="00CB15F5" w:rsidRDefault="00CB15F5" w:rsidP="00A94FE1">
            <w:pPr>
              <w:pStyle w:val="ListParagraph"/>
              <w:numPr>
                <w:ilvl w:val="0"/>
                <w:numId w:val="15"/>
              </w:numPr>
              <w:jc w:val="both"/>
            </w:pPr>
            <w:r>
              <w:t>Will the user need access to reports pertaining to payment card data?</w:t>
            </w:r>
          </w:p>
          <w:p w14:paraId="2C80657C" w14:textId="77777777" w:rsidR="00CB15F5" w:rsidRDefault="00CB15F5" w:rsidP="00A94FE1">
            <w:pPr>
              <w:pStyle w:val="ListParagraph"/>
              <w:numPr>
                <w:ilvl w:val="1"/>
                <w:numId w:val="15"/>
              </w:numPr>
              <w:jc w:val="both"/>
            </w:pPr>
            <w:r>
              <w:t>If yes:</w:t>
            </w:r>
          </w:p>
          <w:p w14:paraId="54C2092F" w14:textId="77777777" w:rsidR="00CB15F5" w:rsidRDefault="00CB15F5" w:rsidP="00A94FE1">
            <w:pPr>
              <w:pStyle w:val="ListParagraph"/>
              <w:numPr>
                <w:ilvl w:val="2"/>
                <w:numId w:val="15"/>
              </w:numPr>
              <w:jc w:val="both"/>
            </w:pPr>
            <w:r>
              <w:t>Ensure appropriate training is completed and Card Payment Security &amp; Ethics Agreement is signed.</w:t>
            </w:r>
          </w:p>
          <w:p w14:paraId="32E72053" w14:textId="77777777" w:rsidR="00CB15F5" w:rsidRDefault="00CB15F5" w:rsidP="00A94FE1">
            <w:pPr>
              <w:pStyle w:val="ListParagraph"/>
              <w:numPr>
                <w:ilvl w:val="2"/>
                <w:numId w:val="15"/>
              </w:numPr>
              <w:jc w:val="both"/>
            </w:pPr>
            <w:r>
              <w:t>Request reporting ONLY access. This will not require a PCI User ID.</w:t>
            </w:r>
          </w:p>
          <w:p w14:paraId="67CFD83B" w14:textId="77777777" w:rsidR="00CB15F5" w:rsidRDefault="00CB15F5" w:rsidP="00A94FE1">
            <w:pPr>
              <w:pStyle w:val="ListParagraph"/>
              <w:numPr>
                <w:ilvl w:val="1"/>
                <w:numId w:val="15"/>
              </w:numPr>
              <w:jc w:val="both"/>
            </w:pPr>
            <w:r>
              <w:t>If no, see item 7.</w:t>
            </w:r>
          </w:p>
          <w:p w14:paraId="2BA74599" w14:textId="77777777" w:rsidR="00CB15F5" w:rsidRDefault="00CB15F5" w:rsidP="00A94FE1">
            <w:pPr>
              <w:pStyle w:val="ListParagraph"/>
              <w:numPr>
                <w:ilvl w:val="0"/>
                <w:numId w:val="15"/>
              </w:numPr>
              <w:jc w:val="both"/>
            </w:pPr>
            <w:r>
              <w:t>Will the user need to configure/maintain the cardholder data environment?</w:t>
            </w:r>
          </w:p>
          <w:p w14:paraId="4B25C337" w14:textId="77777777" w:rsidR="00CB15F5" w:rsidRDefault="00CB15F5" w:rsidP="00A94FE1">
            <w:pPr>
              <w:pStyle w:val="ListParagraph"/>
              <w:numPr>
                <w:ilvl w:val="1"/>
                <w:numId w:val="15"/>
              </w:numPr>
              <w:jc w:val="both"/>
            </w:pPr>
            <w:r>
              <w:t>If yes:</w:t>
            </w:r>
          </w:p>
          <w:p w14:paraId="02BEFD82" w14:textId="77777777" w:rsidR="00CB15F5" w:rsidRDefault="00CB15F5" w:rsidP="00A94FE1">
            <w:pPr>
              <w:pStyle w:val="ListParagraph"/>
              <w:numPr>
                <w:ilvl w:val="2"/>
                <w:numId w:val="15"/>
              </w:numPr>
              <w:jc w:val="both"/>
            </w:pPr>
            <w:r>
              <w:t>Ensure appropriate training is completed and Card Payment Security &amp; Ethics Agreement is signed.</w:t>
            </w:r>
          </w:p>
          <w:p w14:paraId="7410269C" w14:textId="77777777" w:rsidR="00CB15F5" w:rsidRDefault="00CB15F5" w:rsidP="00A94FE1">
            <w:pPr>
              <w:pStyle w:val="ListParagraph"/>
              <w:numPr>
                <w:ilvl w:val="2"/>
                <w:numId w:val="15"/>
              </w:numPr>
              <w:jc w:val="both"/>
            </w:pPr>
            <w:r>
              <w:t>Request access for the specific product that will be configured/maintained (ex. Hosted checkout, virtual terminal, etc.)</w:t>
            </w:r>
          </w:p>
          <w:p w14:paraId="2AA62C55" w14:textId="77777777" w:rsidR="00CB15F5" w:rsidRPr="002B411F" w:rsidRDefault="00CB15F5" w:rsidP="00A94FE1">
            <w:pPr>
              <w:pStyle w:val="ListParagraph"/>
              <w:numPr>
                <w:ilvl w:val="1"/>
                <w:numId w:val="15"/>
              </w:numPr>
              <w:jc w:val="both"/>
            </w:pPr>
            <w:r>
              <w:lastRenderedPageBreak/>
              <w:t>If no, contact the PCI Coordinator for assistance.</w:t>
            </w:r>
          </w:p>
          <w:p w14:paraId="3A2322C4" w14:textId="77777777" w:rsidR="00CB15F5" w:rsidRDefault="00CB15F5" w:rsidP="00A94FE1">
            <w:pPr>
              <w:jc w:val="both"/>
            </w:pPr>
            <w:r>
              <w:t>NOTE: Users processing payments and refunds using a POS device must complete the PIN Pad Security Training. No user access is required.</w:t>
            </w:r>
          </w:p>
          <w:p w14:paraId="2E044747" w14:textId="77777777" w:rsidR="00CB15F5" w:rsidRDefault="00CB15F5" w:rsidP="00A94FE1">
            <w:pPr>
              <w:jc w:val="both"/>
            </w:pPr>
            <w:r>
              <w:t>NOTE: Merchants are responsible for managing user access for any specialized payment applications or service providers that they choose to engage outside of the University’s approved Acquirer(s). User access to specialized payment applications must adhere to the PCI DSS requirements for user accounts.</w:t>
            </w:r>
          </w:p>
          <w:p w14:paraId="30645326" w14:textId="77777777" w:rsidR="00CB15F5" w:rsidRPr="00950A4F" w:rsidRDefault="00CB15F5" w:rsidP="00A94FE1">
            <w:pPr>
              <w:jc w:val="both"/>
            </w:pPr>
            <w:r>
              <w:t>These applications and providers must still be approved by the PCI Coordinator, and the PCI Coordinator will be responsible for requesting PCI user IDs if there is any payment processing over the PCI network.</w:t>
            </w:r>
          </w:p>
        </w:tc>
      </w:tr>
      <w:tr w:rsidR="00CB15F5" w:rsidRPr="00950A4F" w14:paraId="29366195" w14:textId="77777777" w:rsidTr="00ED639D">
        <w:trPr>
          <w:trHeight w:val="259"/>
          <w:jc w:val="center"/>
        </w:trPr>
        <w:tc>
          <w:tcPr>
            <w:tcW w:w="1071" w:type="dxa"/>
            <w:shd w:val="clear" w:color="auto" w:fill="auto"/>
          </w:tcPr>
          <w:p w14:paraId="2B76D94F" w14:textId="77777777" w:rsidR="00CB15F5" w:rsidRDefault="00CB15F5" w:rsidP="00A94FE1">
            <w:pPr>
              <w:jc w:val="both"/>
            </w:pPr>
            <w:r w:rsidRPr="00ED639D">
              <w:rPr>
                <w:b/>
              </w:rPr>
              <w:lastRenderedPageBreak/>
              <w:t>Step 2:</w:t>
            </w:r>
            <w:r>
              <w:t xml:space="preserve"> PCI Coordinator </w:t>
            </w:r>
          </w:p>
        </w:tc>
        <w:tc>
          <w:tcPr>
            <w:tcW w:w="8836" w:type="dxa"/>
          </w:tcPr>
          <w:p w14:paraId="097B779B" w14:textId="77777777" w:rsidR="00CB15F5" w:rsidRDefault="00CB15F5" w:rsidP="00A94FE1">
            <w:pPr>
              <w:jc w:val="both"/>
            </w:pPr>
            <w:r>
              <w:t>Verify that the user has completed the necessary training and signed the Payment Card Security &amp; Ethics Agreement. If yes:</w:t>
            </w:r>
          </w:p>
          <w:p w14:paraId="60A828DC" w14:textId="77777777" w:rsidR="00CB15F5" w:rsidRDefault="00CB15F5" w:rsidP="00A94FE1">
            <w:pPr>
              <w:pStyle w:val="ListParagraph"/>
              <w:numPr>
                <w:ilvl w:val="0"/>
                <w:numId w:val="16"/>
              </w:numPr>
              <w:jc w:val="both"/>
            </w:pPr>
            <w:r>
              <w:t>Submit the support ticket for the creation of a PCI user ID.</w:t>
            </w:r>
          </w:p>
          <w:p w14:paraId="2E345890" w14:textId="781B4537" w:rsidR="00CB15F5" w:rsidRPr="00950A4F" w:rsidRDefault="00545A1A" w:rsidP="00A94FE1">
            <w:pPr>
              <w:pStyle w:val="ListParagraph"/>
              <w:numPr>
                <w:ilvl w:val="0"/>
                <w:numId w:val="16"/>
              </w:numPr>
              <w:jc w:val="both"/>
            </w:pPr>
            <w:r>
              <w:t>Submit the request to the a</w:t>
            </w:r>
            <w:r w:rsidR="00CB15F5">
              <w:t>cquirer for the necessary access.</w:t>
            </w:r>
          </w:p>
        </w:tc>
      </w:tr>
      <w:tr w:rsidR="00CB15F5" w14:paraId="610195FE" w14:textId="77777777" w:rsidTr="00ED639D">
        <w:trPr>
          <w:trHeight w:val="259"/>
          <w:jc w:val="center"/>
        </w:trPr>
        <w:tc>
          <w:tcPr>
            <w:tcW w:w="1071" w:type="dxa"/>
            <w:shd w:val="clear" w:color="auto" w:fill="auto"/>
          </w:tcPr>
          <w:p w14:paraId="264A5FBB" w14:textId="77777777" w:rsidR="00CB15F5" w:rsidRDefault="00CB15F5" w:rsidP="00A94FE1">
            <w:pPr>
              <w:jc w:val="both"/>
            </w:pPr>
            <w:r w:rsidRPr="00ED639D">
              <w:rPr>
                <w:b/>
              </w:rPr>
              <w:t>Step 3:</w:t>
            </w:r>
            <w:r>
              <w:t xml:space="preserve"> ITS</w:t>
            </w:r>
          </w:p>
        </w:tc>
        <w:tc>
          <w:tcPr>
            <w:tcW w:w="8836" w:type="dxa"/>
          </w:tcPr>
          <w:p w14:paraId="0E47512B" w14:textId="77777777" w:rsidR="00CB15F5" w:rsidRDefault="00CB15F5" w:rsidP="00A94FE1">
            <w:pPr>
              <w:jc w:val="both"/>
            </w:pPr>
            <w:r>
              <w:t>Complete the support ticket and notify the user of their credentials.</w:t>
            </w:r>
          </w:p>
        </w:tc>
      </w:tr>
      <w:tr w:rsidR="00CB15F5" w14:paraId="3773E8A2" w14:textId="77777777" w:rsidTr="00ED639D">
        <w:trPr>
          <w:trHeight w:val="259"/>
          <w:jc w:val="center"/>
        </w:trPr>
        <w:tc>
          <w:tcPr>
            <w:tcW w:w="1071" w:type="dxa"/>
            <w:shd w:val="clear" w:color="auto" w:fill="auto"/>
          </w:tcPr>
          <w:p w14:paraId="14E41408" w14:textId="77777777" w:rsidR="00CB15F5" w:rsidRDefault="00CB15F5" w:rsidP="00A94FE1">
            <w:pPr>
              <w:jc w:val="both"/>
            </w:pPr>
            <w:r w:rsidRPr="00ED639D">
              <w:rPr>
                <w:b/>
              </w:rPr>
              <w:t>Step 4:</w:t>
            </w:r>
            <w:r>
              <w:t xml:space="preserve"> PCI Coordinator</w:t>
            </w:r>
          </w:p>
        </w:tc>
        <w:tc>
          <w:tcPr>
            <w:tcW w:w="8836" w:type="dxa"/>
          </w:tcPr>
          <w:p w14:paraId="0CE139D2" w14:textId="77777777" w:rsidR="00CB15F5" w:rsidRDefault="00CB15F5" w:rsidP="00A94FE1">
            <w:pPr>
              <w:jc w:val="both"/>
            </w:pPr>
            <w:r>
              <w:t xml:space="preserve">Notify the PCI Merchant Contact when access has been created. </w:t>
            </w:r>
          </w:p>
        </w:tc>
      </w:tr>
    </w:tbl>
    <w:p w14:paraId="573D18EE" w14:textId="1BC72140" w:rsidR="00CB15F5" w:rsidRDefault="00CB15F5" w:rsidP="00A94FE1">
      <w:pPr>
        <w:jc w:val="both"/>
      </w:pPr>
    </w:p>
    <w:p w14:paraId="648A5CF5" w14:textId="704249B3" w:rsidR="00D73F04" w:rsidRDefault="00D73F04" w:rsidP="00A94FE1">
      <w:pPr>
        <w:pStyle w:val="Heading3"/>
        <w:jc w:val="both"/>
      </w:pPr>
      <w:bookmarkStart w:id="19" w:name="_Toc2585500"/>
      <w:r>
        <w:t>4.2 Modify/Terminate User (Employee, Contractor, Service Providers acting on behalf of Queen’s) Access</w:t>
      </w:r>
      <w:bookmarkEnd w:id="19"/>
    </w:p>
    <w:tbl>
      <w:tblPr>
        <w:tblW w:w="9902" w:type="dxa"/>
        <w:jc w:val="center"/>
        <w:tblCellMar>
          <w:top w:w="85" w:type="dxa"/>
          <w:left w:w="85" w:type="dxa"/>
          <w:bottom w:w="85" w:type="dxa"/>
          <w:right w:w="85" w:type="dxa"/>
        </w:tblCellMar>
        <w:tblLook w:val="01E0" w:firstRow="1" w:lastRow="1" w:firstColumn="1" w:lastColumn="1" w:noHBand="0" w:noVBand="0"/>
      </w:tblPr>
      <w:tblGrid>
        <w:gridCol w:w="3055"/>
        <w:gridCol w:w="6847"/>
      </w:tblGrid>
      <w:tr w:rsidR="00D73F04" w:rsidRPr="00BE4729" w14:paraId="3F74E416" w14:textId="77777777" w:rsidTr="00ED639D">
        <w:trPr>
          <w:trHeight w:val="259"/>
          <w:jc w:val="center"/>
        </w:trPr>
        <w:tc>
          <w:tcPr>
            <w:tcW w:w="3055" w:type="dxa"/>
            <w:shd w:val="clear" w:color="auto" w:fill="auto"/>
          </w:tcPr>
          <w:p w14:paraId="39AA17DA" w14:textId="77777777" w:rsidR="00D73F04" w:rsidRPr="00BE4729" w:rsidRDefault="00D73F04" w:rsidP="00A94FE1">
            <w:r>
              <w:t>User: Forgotten Password (PCI User ID)</w:t>
            </w:r>
          </w:p>
        </w:tc>
        <w:tc>
          <w:tcPr>
            <w:tcW w:w="6847" w:type="dxa"/>
          </w:tcPr>
          <w:p w14:paraId="4D61E401" w14:textId="77777777" w:rsidR="00D73F04" w:rsidRPr="00BE4729" w:rsidRDefault="00D73F04" w:rsidP="00A94FE1">
            <w:pPr>
              <w:jc w:val="both"/>
            </w:pPr>
            <w:r>
              <w:t>Contact the IT Support Centre to have the password reset.</w:t>
            </w:r>
          </w:p>
        </w:tc>
      </w:tr>
      <w:tr w:rsidR="00D73F04" w14:paraId="6B4C6B9A" w14:textId="77777777" w:rsidTr="00ED639D">
        <w:trPr>
          <w:trHeight w:val="259"/>
          <w:jc w:val="center"/>
        </w:trPr>
        <w:tc>
          <w:tcPr>
            <w:tcW w:w="3055" w:type="dxa"/>
            <w:shd w:val="clear" w:color="auto" w:fill="auto"/>
          </w:tcPr>
          <w:p w14:paraId="025F0526" w14:textId="77777777" w:rsidR="00D73F04" w:rsidRDefault="00D73F04" w:rsidP="00A94FE1">
            <w:r>
              <w:t>User: Forgotten Password (Acquirer)</w:t>
            </w:r>
          </w:p>
        </w:tc>
        <w:tc>
          <w:tcPr>
            <w:tcW w:w="6847" w:type="dxa"/>
          </w:tcPr>
          <w:p w14:paraId="12553E87" w14:textId="09FF7BFD" w:rsidR="00D73F04" w:rsidRDefault="00895FCB" w:rsidP="00A94FE1">
            <w:pPr>
              <w:jc w:val="both"/>
            </w:pPr>
            <w:r>
              <w:t>Contact the a</w:t>
            </w:r>
            <w:r w:rsidR="00D73F04">
              <w:t>cquirer’s helpdesk. The PCI Coordinator can provide contact information.</w:t>
            </w:r>
          </w:p>
        </w:tc>
      </w:tr>
      <w:tr w:rsidR="00D73F04" w14:paraId="254FDE52" w14:textId="77777777" w:rsidTr="00ED639D">
        <w:trPr>
          <w:trHeight w:val="259"/>
          <w:jc w:val="center"/>
        </w:trPr>
        <w:tc>
          <w:tcPr>
            <w:tcW w:w="3055" w:type="dxa"/>
            <w:shd w:val="clear" w:color="auto" w:fill="auto"/>
          </w:tcPr>
          <w:p w14:paraId="6DC8EA61" w14:textId="77777777" w:rsidR="00D73F04" w:rsidRDefault="00D73F04" w:rsidP="00A94FE1">
            <w:r>
              <w:t>PCI Merchant Contact: Terminate a User</w:t>
            </w:r>
          </w:p>
        </w:tc>
        <w:tc>
          <w:tcPr>
            <w:tcW w:w="6847" w:type="dxa"/>
          </w:tcPr>
          <w:p w14:paraId="4FD479C2" w14:textId="77777777" w:rsidR="00D73F04" w:rsidRDefault="00D73F04" w:rsidP="00A94FE1">
            <w:pPr>
              <w:jc w:val="both"/>
            </w:pPr>
            <w:r>
              <w:t xml:space="preserve">Email the PCI Coordinator. They will submit the support ticket to deactivate the PCI user ID and/or revoke acquirer access. ITS will review the support ticket, remove the </w:t>
            </w:r>
            <w:proofErr w:type="gramStart"/>
            <w:r>
              <w:t>account</w:t>
            </w:r>
            <w:proofErr w:type="gramEnd"/>
            <w:r>
              <w:t xml:space="preserve"> and update the support ticket once the account is removed.</w:t>
            </w:r>
          </w:p>
        </w:tc>
      </w:tr>
    </w:tbl>
    <w:p w14:paraId="3113A230" w14:textId="4BA46716" w:rsidR="00D73F04" w:rsidRDefault="00D73F04" w:rsidP="00A94FE1">
      <w:pPr>
        <w:jc w:val="both"/>
      </w:pPr>
    </w:p>
    <w:p w14:paraId="7D138DC1" w14:textId="7FE0815E" w:rsidR="00D73F04" w:rsidRDefault="00D73F04" w:rsidP="00A94FE1">
      <w:pPr>
        <w:pStyle w:val="Heading2"/>
        <w:jc w:val="both"/>
      </w:pPr>
      <w:bookmarkStart w:id="20" w:name="_Toc2585501"/>
      <w:r>
        <w:t>5.0 Incident Response</w:t>
      </w:r>
      <w:bookmarkEnd w:id="20"/>
    </w:p>
    <w:tbl>
      <w:tblPr>
        <w:tblW w:w="9985" w:type="dxa"/>
        <w:jc w:val="center"/>
        <w:tblCellMar>
          <w:top w:w="85" w:type="dxa"/>
          <w:left w:w="85" w:type="dxa"/>
          <w:bottom w:w="85" w:type="dxa"/>
          <w:right w:w="85" w:type="dxa"/>
        </w:tblCellMar>
        <w:tblLook w:val="01E0" w:firstRow="1" w:lastRow="1" w:firstColumn="1" w:lastColumn="1" w:noHBand="0" w:noVBand="0"/>
      </w:tblPr>
      <w:tblGrid>
        <w:gridCol w:w="1336"/>
        <w:gridCol w:w="8649"/>
      </w:tblGrid>
      <w:tr w:rsidR="00D73F04" w:rsidRPr="002C4D7D" w14:paraId="3F8EAFD4" w14:textId="77777777" w:rsidTr="00ED639D">
        <w:trPr>
          <w:trHeight w:val="259"/>
          <w:jc w:val="center"/>
        </w:trPr>
        <w:tc>
          <w:tcPr>
            <w:tcW w:w="1336" w:type="dxa"/>
            <w:shd w:val="clear" w:color="auto" w:fill="auto"/>
          </w:tcPr>
          <w:p w14:paraId="6FB1BFA9" w14:textId="77777777" w:rsidR="00D73F04" w:rsidRPr="00C37246" w:rsidRDefault="00D73F04" w:rsidP="00A94FE1">
            <w:pPr>
              <w:jc w:val="both"/>
            </w:pPr>
            <w:r w:rsidRPr="00ED639D">
              <w:rPr>
                <w:b/>
              </w:rPr>
              <w:t>Step 1:</w:t>
            </w:r>
            <w:r>
              <w:t xml:space="preserve"> Merchant, ITS</w:t>
            </w:r>
          </w:p>
        </w:tc>
        <w:tc>
          <w:tcPr>
            <w:tcW w:w="8649" w:type="dxa"/>
          </w:tcPr>
          <w:p w14:paraId="1112AA89" w14:textId="77777777" w:rsidR="00D73F04" w:rsidRDefault="00D73F04" w:rsidP="00A94FE1">
            <w:pPr>
              <w:jc w:val="both"/>
            </w:pPr>
            <w:r>
              <w:t>Observes a possible incident or breach. Some incident/breach indicators are:</w:t>
            </w:r>
          </w:p>
          <w:p w14:paraId="1425123A" w14:textId="77777777" w:rsidR="00D73F04" w:rsidRDefault="00D73F04" w:rsidP="00A94FE1">
            <w:pPr>
              <w:pStyle w:val="ListParagraph"/>
              <w:numPr>
                <w:ilvl w:val="0"/>
                <w:numId w:val="24"/>
              </w:numPr>
              <w:jc w:val="both"/>
            </w:pPr>
            <w:r>
              <w:t>A secured, locked cabinet with payment card data has been broken into or looks damaged.</w:t>
            </w:r>
          </w:p>
          <w:p w14:paraId="6D390758" w14:textId="77777777" w:rsidR="00D73F04" w:rsidRDefault="00D73F04" w:rsidP="00A94FE1">
            <w:pPr>
              <w:pStyle w:val="ListParagraph"/>
              <w:numPr>
                <w:ilvl w:val="0"/>
                <w:numId w:val="24"/>
              </w:numPr>
              <w:jc w:val="both"/>
            </w:pPr>
            <w:r>
              <w:t>Lost paper forms containing payment card data.</w:t>
            </w:r>
          </w:p>
          <w:p w14:paraId="3FDBB7BA" w14:textId="77777777" w:rsidR="00D73F04" w:rsidRDefault="00D73F04" w:rsidP="00A94FE1">
            <w:pPr>
              <w:pStyle w:val="ListParagraph"/>
              <w:numPr>
                <w:ilvl w:val="0"/>
                <w:numId w:val="24"/>
              </w:numPr>
              <w:jc w:val="both"/>
            </w:pPr>
            <w:r>
              <w:t>Suspicious behaviour around devices</w:t>
            </w:r>
          </w:p>
          <w:p w14:paraId="6B241EAE" w14:textId="77777777" w:rsidR="00D73F04" w:rsidRDefault="00D73F04" w:rsidP="00A94FE1">
            <w:pPr>
              <w:pStyle w:val="ListParagraph"/>
              <w:numPr>
                <w:ilvl w:val="0"/>
                <w:numId w:val="24"/>
              </w:numPr>
              <w:jc w:val="both"/>
            </w:pPr>
            <w:r>
              <w:lastRenderedPageBreak/>
              <w:t>A skimming device or unusual attachment on a POS device.</w:t>
            </w:r>
          </w:p>
          <w:p w14:paraId="63B9D752" w14:textId="77777777" w:rsidR="00D73F04" w:rsidRDefault="00D73F04" w:rsidP="00A94FE1">
            <w:pPr>
              <w:pStyle w:val="ListParagraph"/>
              <w:numPr>
                <w:ilvl w:val="0"/>
                <w:numId w:val="24"/>
              </w:numPr>
              <w:jc w:val="both"/>
            </w:pPr>
            <w:r>
              <w:t>A broken tamper proof seal on a POS device.</w:t>
            </w:r>
          </w:p>
          <w:p w14:paraId="6B864405" w14:textId="0F05C64C" w:rsidR="00D73F04" w:rsidRPr="00313292" w:rsidRDefault="00D73F04" w:rsidP="00A94FE1">
            <w:pPr>
              <w:pStyle w:val="ListParagraph"/>
              <w:numPr>
                <w:ilvl w:val="0"/>
                <w:numId w:val="24"/>
              </w:numPr>
              <w:jc w:val="both"/>
            </w:pPr>
            <w:r w:rsidRPr="00313292">
              <w:t xml:space="preserve">Multiple small transactions (at the </w:t>
            </w:r>
            <w:r w:rsidR="00480D6C" w:rsidRPr="00313292">
              <w:t>one-dollar</w:t>
            </w:r>
            <w:r w:rsidRPr="00313292">
              <w:t xml:space="preserve"> value) through an online store or </w:t>
            </w:r>
            <w:r>
              <w:t>e</w:t>
            </w:r>
            <w:r w:rsidRPr="00313292">
              <w:t>-</w:t>
            </w:r>
            <w:r>
              <w:t>c</w:t>
            </w:r>
            <w:r w:rsidRPr="00313292">
              <w:t>ommerce account.</w:t>
            </w:r>
          </w:p>
          <w:p w14:paraId="18EC6EDA" w14:textId="77777777" w:rsidR="00D73F04" w:rsidRDefault="00D73F04" w:rsidP="00A94FE1">
            <w:pPr>
              <w:pStyle w:val="ListParagraph"/>
              <w:numPr>
                <w:ilvl w:val="0"/>
                <w:numId w:val="24"/>
              </w:numPr>
              <w:jc w:val="both"/>
            </w:pPr>
            <w:r>
              <w:t>Multiple refunds going to the same card.</w:t>
            </w:r>
          </w:p>
          <w:p w14:paraId="41655E90" w14:textId="77777777" w:rsidR="00D73F04" w:rsidRDefault="00D73F04" w:rsidP="00A94FE1">
            <w:pPr>
              <w:pStyle w:val="ListParagraph"/>
              <w:numPr>
                <w:ilvl w:val="0"/>
                <w:numId w:val="24"/>
              </w:numPr>
              <w:jc w:val="both"/>
            </w:pPr>
            <w:r>
              <w:t>Different serial numbers on the PIN pad machine indicating the device has been switched.</w:t>
            </w:r>
          </w:p>
          <w:p w14:paraId="68E98B15" w14:textId="77777777" w:rsidR="00D73F04" w:rsidRDefault="00D73F04" w:rsidP="00A94FE1">
            <w:pPr>
              <w:pStyle w:val="ListParagraph"/>
              <w:numPr>
                <w:ilvl w:val="0"/>
                <w:numId w:val="24"/>
              </w:numPr>
              <w:jc w:val="both"/>
            </w:pPr>
            <w:r>
              <w:t>Unfamiliar equipment surrounding your PCI terminal or POS device.</w:t>
            </w:r>
          </w:p>
          <w:p w14:paraId="62899D7D" w14:textId="77777777" w:rsidR="00D73F04" w:rsidRDefault="00D73F04" w:rsidP="00A94FE1">
            <w:pPr>
              <w:pStyle w:val="ListParagraph"/>
              <w:numPr>
                <w:ilvl w:val="0"/>
                <w:numId w:val="24"/>
              </w:numPr>
              <w:jc w:val="both"/>
            </w:pPr>
            <w:r>
              <w:t>A vulnerability appears in the weekly network scans.</w:t>
            </w:r>
          </w:p>
          <w:p w14:paraId="546B9DB9" w14:textId="77777777" w:rsidR="00D73F04" w:rsidRPr="002C4D7D" w:rsidRDefault="00D73F04" w:rsidP="00A94FE1">
            <w:pPr>
              <w:pStyle w:val="ListParagraph"/>
              <w:numPr>
                <w:ilvl w:val="0"/>
                <w:numId w:val="24"/>
              </w:numPr>
              <w:jc w:val="both"/>
            </w:pPr>
            <w:r>
              <w:t>ITS find a possible issue during their daily checks of the PCI network and hosting environment.</w:t>
            </w:r>
          </w:p>
        </w:tc>
      </w:tr>
      <w:tr w:rsidR="00D73F04" w14:paraId="6CF50216" w14:textId="77777777" w:rsidTr="00ED639D">
        <w:trPr>
          <w:trHeight w:val="259"/>
          <w:jc w:val="center"/>
        </w:trPr>
        <w:tc>
          <w:tcPr>
            <w:tcW w:w="1336" w:type="dxa"/>
            <w:shd w:val="clear" w:color="auto" w:fill="auto"/>
          </w:tcPr>
          <w:p w14:paraId="5FFC27E3" w14:textId="77777777" w:rsidR="00D73F04" w:rsidRDefault="00D73F04" w:rsidP="00A94FE1">
            <w:pPr>
              <w:jc w:val="both"/>
            </w:pPr>
            <w:r w:rsidRPr="00ED639D">
              <w:rPr>
                <w:b/>
              </w:rPr>
              <w:lastRenderedPageBreak/>
              <w:t>Step 2:</w:t>
            </w:r>
            <w:r>
              <w:t xml:space="preserve"> Merchant</w:t>
            </w:r>
          </w:p>
        </w:tc>
        <w:tc>
          <w:tcPr>
            <w:tcW w:w="8649" w:type="dxa"/>
          </w:tcPr>
          <w:p w14:paraId="6793216E" w14:textId="77777777" w:rsidR="00D73F04" w:rsidRDefault="00D73F04" w:rsidP="00A94FE1">
            <w:pPr>
              <w:jc w:val="both"/>
            </w:pPr>
            <w:r>
              <w:t>Immediately stop taking payments on the compromised station and disconnect from the PCI network (if applicable). Only shut down the device if this is the only way to prevent the system from being connected to the network (like a cellular PIN pad).</w:t>
            </w:r>
          </w:p>
          <w:p w14:paraId="61E8A1E8" w14:textId="77777777" w:rsidR="00D73F04" w:rsidRDefault="00D73F04" w:rsidP="00A94FE1">
            <w:pPr>
              <w:jc w:val="both"/>
            </w:pPr>
            <w:r>
              <w:t>Disconnect by unplugging the network cable, phone line, etc.</w:t>
            </w:r>
          </w:p>
          <w:p w14:paraId="4F2C2E32" w14:textId="77777777" w:rsidR="00D73F04" w:rsidRDefault="00D73F04" w:rsidP="00A94FE1">
            <w:pPr>
              <w:jc w:val="both"/>
            </w:pPr>
            <w:r>
              <w:t>Do NOT resume processing payments until notified to do so.</w:t>
            </w:r>
          </w:p>
        </w:tc>
      </w:tr>
      <w:tr w:rsidR="00D73F04" w:rsidRPr="00AC702A" w14:paraId="03F96A17" w14:textId="77777777" w:rsidTr="00ED639D">
        <w:trPr>
          <w:trHeight w:val="259"/>
          <w:jc w:val="center"/>
        </w:trPr>
        <w:tc>
          <w:tcPr>
            <w:tcW w:w="1336" w:type="dxa"/>
            <w:shd w:val="clear" w:color="auto" w:fill="auto"/>
          </w:tcPr>
          <w:p w14:paraId="0E5E029A" w14:textId="77777777" w:rsidR="00D73F04" w:rsidRDefault="00D73F04" w:rsidP="00A94FE1">
            <w:pPr>
              <w:jc w:val="both"/>
            </w:pPr>
            <w:r w:rsidRPr="00ED639D">
              <w:rPr>
                <w:b/>
              </w:rPr>
              <w:t>Step 3:</w:t>
            </w:r>
            <w:r>
              <w:t xml:space="preserve"> Merchant</w:t>
            </w:r>
          </w:p>
        </w:tc>
        <w:tc>
          <w:tcPr>
            <w:tcW w:w="8649" w:type="dxa"/>
          </w:tcPr>
          <w:p w14:paraId="5607CABC" w14:textId="1EDE75FA" w:rsidR="00D73F04" w:rsidRPr="00AC702A" w:rsidRDefault="00D73F04" w:rsidP="00A94FE1">
            <w:pPr>
              <w:jc w:val="both"/>
            </w:pPr>
            <w:r>
              <w:t>Report the suspected breach or incident to</w:t>
            </w:r>
            <w:r w:rsidRPr="002C7FBE">
              <w:t xml:space="preserve"> IT Support Centre </w:t>
            </w:r>
            <w:r w:rsidR="00FD4984">
              <w:t xml:space="preserve">(ITSC) immediately </w:t>
            </w:r>
            <w:r w:rsidRPr="002C7FBE">
              <w:t>at 613-533-6666</w:t>
            </w:r>
            <w:r w:rsidR="00FD4984">
              <w:t xml:space="preserve"> (or </w:t>
            </w:r>
            <w:r w:rsidR="007658F0">
              <w:t>e</w:t>
            </w:r>
            <w:r w:rsidR="00FD4984">
              <w:t>x</w:t>
            </w:r>
            <w:r w:rsidR="007658F0">
              <w:t xml:space="preserve">tension </w:t>
            </w:r>
            <w:r w:rsidR="00FD4984">
              <w:t>36666 if on campus)</w:t>
            </w:r>
            <w:r w:rsidR="009654D8">
              <w:t xml:space="preserve"> </w:t>
            </w:r>
            <w:r w:rsidR="009654D8" w:rsidRPr="00A94FE1">
              <w:rPr>
                <w:rFonts w:ascii="Lucida Sans Unicode" w:hAnsi="Lucida Sans Unicode" w:cs="Lucida Sans Unicode"/>
                <w:color w:val="000000"/>
                <w:sz w:val="21"/>
                <w:szCs w:val="21"/>
                <w:shd w:val="clear" w:color="auto" w:fill="FFFFFF"/>
              </w:rPr>
              <w:t>during </w:t>
            </w:r>
            <w:hyperlink r:id="rId24" w:history="1">
              <w:r w:rsidR="009654D8" w:rsidRPr="00A94FE1">
                <w:rPr>
                  <w:rStyle w:val="Hyperlink"/>
                  <w:rFonts w:ascii="Lucida Sans Unicode" w:hAnsi="Lucida Sans Unicode" w:cs="Lucida Sans Unicode"/>
                  <w:color w:val="0062A0"/>
                  <w:sz w:val="21"/>
                  <w:szCs w:val="21"/>
                  <w:u w:val="none"/>
                  <w:bdr w:val="none" w:sz="0" w:space="0" w:color="auto" w:frame="1"/>
                  <w:shd w:val="clear" w:color="auto" w:fill="FFFFFF"/>
                </w:rPr>
                <w:t>reg</w:t>
              </w:r>
              <w:r w:rsidR="009654D8" w:rsidRPr="00A94FE1">
                <w:rPr>
                  <w:rStyle w:val="Hyperlink"/>
                  <w:rFonts w:ascii="Lucida Sans Unicode" w:hAnsi="Lucida Sans Unicode" w:cs="Lucida Sans Unicode"/>
                  <w:color w:val="0062A0"/>
                  <w:sz w:val="21"/>
                  <w:szCs w:val="21"/>
                  <w:u w:val="none"/>
                  <w:bdr w:val="none" w:sz="0" w:space="0" w:color="auto" w:frame="1"/>
                  <w:shd w:val="clear" w:color="auto" w:fill="FFFFFF"/>
                </w:rPr>
                <w:t>u</w:t>
              </w:r>
              <w:r w:rsidR="009654D8" w:rsidRPr="00A94FE1">
                <w:rPr>
                  <w:rStyle w:val="Hyperlink"/>
                  <w:rFonts w:ascii="Lucida Sans Unicode" w:hAnsi="Lucida Sans Unicode" w:cs="Lucida Sans Unicode"/>
                  <w:color w:val="0062A0"/>
                  <w:sz w:val="21"/>
                  <w:szCs w:val="21"/>
                  <w:u w:val="none"/>
                  <w:bdr w:val="none" w:sz="0" w:space="0" w:color="auto" w:frame="1"/>
                  <w:shd w:val="clear" w:color="auto" w:fill="FFFFFF"/>
                </w:rPr>
                <w:t>lar business hours</w:t>
              </w:r>
            </w:hyperlink>
            <w:r w:rsidR="009654D8" w:rsidRPr="00A94FE1">
              <w:rPr>
                <w:rFonts w:ascii="Lucida Sans Unicode" w:hAnsi="Lucida Sans Unicode" w:cs="Lucida Sans Unicode"/>
                <w:color w:val="000000"/>
                <w:sz w:val="21"/>
                <w:szCs w:val="21"/>
                <w:shd w:val="clear" w:color="auto" w:fill="FFFFFF"/>
              </w:rPr>
              <w:t> or by filling out the </w:t>
            </w:r>
            <w:hyperlink r:id="rId25" w:history="1">
              <w:r w:rsidR="009654D8" w:rsidRPr="00A94FE1">
                <w:rPr>
                  <w:rStyle w:val="Hyperlink"/>
                  <w:rFonts w:ascii="Lucida Sans Unicode" w:hAnsi="Lucida Sans Unicode" w:cs="Lucida Sans Unicode"/>
                  <w:color w:val="0062A0"/>
                  <w:sz w:val="21"/>
                  <w:szCs w:val="21"/>
                  <w:bdr w:val="none" w:sz="0" w:space="0" w:color="auto" w:frame="1"/>
                  <w:shd w:val="clear" w:color="auto" w:fill="FFFFFF"/>
                </w:rPr>
                <w:t>online hel</w:t>
              </w:r>
              <w:r w:rsidR="009654D8" w:rsidRPr="00A94FE1">
                <w:rPr>
                  <w:rStyle w:val="Hyperlink"/>
                  <w:rFonts w:ascii="Lucida Sans Unicode" w:hAnsi="Lucida Sans Unicode" w:cs="Lucida Sans Unicode"/>
                  <w:color w:val="0062A0"/>
                  <w:sz w:val="21"/>
                  <w:szCs w:val="21"/>
                  <w:bdr w:val="none" w:sz="0" w:space="0" w:color="auto" w:frame="1"/>
                  <w:shd w:val="clear" w:color="auto" w:fill="FFFFFF"/>
                </w:rPr>
                <w:t>p</w:t>
              </w:r>
              <w:r w:rsidR="009654D8" w:rsidRPr="00A94FE1">
                <w:rPr>
                  <w:rStyle w:val="Hyperlink"/>
                  <w:rFonts w:ascii="Lucida Sans Unicode" w:hAnsi="Lucida Sans Unicode" w:cs="Lucida Sans Unicode"/>
                  <w:color w:val="0062A0"/>
                  <w:sz w:val="21"/>
                  <w:szCs w:val="21"/>
                  <w:bdr w:val="none" w:sz="0" w:space="0" w:color="auto" w:frame="1"/>
                  <w:shd w:val="clear" w:color="auto" w:fill="FFFFFF"/>
                </w:rPr>
                <w:t xml:space="preserve"> form</w:t>
              </w:r>
            </w:hyperlink>
            <w:r w:rsidR="00FD4984">
              <w:t xml:space="preserve"> after hours</w:t>
            </w:r>
            <w:r>
              <w:t>.</w:t>
            </w:r>
            <w:r w:rsidR="00FD4984">
              <w:t xml:space="preserve"> Indicate that this is an urgent request and that it is a </w:t>
            </w:r>
            <w:r w:rsidR="00FD4984" w:rsidRPr="00A94FE1">
              <w:rPr>
                <w:b/>
                <w:bCs w:val="0"/>
              </w:rPr>
              <w:t>potential PCI Incident</w:t>
            </w:r>
          </w:p>
        </w:tc>
      </w:tr>
      <w:tr w:rsidR="00D73F04" w14:paraId="1200C18F" w14:textId="77777777" w:rsidTr="00ED639D">
        <w:trPr>
          <w:trHeight w:val="259"/>
          <w:jc w:val="center"/>
        </w:trPr>
        <w:tc>
          <w:tcPr>
            <w:tcW w:w="1336" w:type="dxa"/>
            <w:shd w:val="clear" w:color="auto" w:fill="auto"/>
          </w:tcPr>
          <w:p w14:paraId="12679507" w14:textId="77777777" w:rsidR="00D73F04" w:rsidRDefault="00D73F04" w:rsidP="00A94FE1">
            <w:pPr>
              <w:jc w:val="both"/>
            </w:pPr>
            <w:r w:rsidRPr="00ED639D">
              <w:rPr>
                <w:b/>
              </w:rPr>
              <w:t>Step 4:</w:t>
            </w:r>
            <w:r>
              <w:t xml:space="preserve"> ITS</w:t>
            </w:r>
          </w:p>
        </w:tc>
        <w:tc>
          <w:tcPr>
            <w:tcW w:w="8649" w:type="dxa"/>
          </w:tcPr>
          <w:p w14:paraId="2ACCE883" w14:textId="77777777" w:rsidR="00D73F04" w:rsidRDefault="00D73F04" w:rsidP="00A94FE1">
            <w:pPr>
              <w:jc w:val="both"/>
            </w:pPr>
            <w:r>
              <w:t>Immediately alert the Information Security Officer, PCI Coordinator, and Business Officer using the methods indicated in the PCI Incident Response Plan.</w:t>
            </w:r>
          </w:p>
        </w:tc>
      </w:tr>
      <w:tr w:rsidR="00D73F04" w14:paraId="321527AE" w14:textId="77777777" w:rsidTr="00ED639D">
        <w:trPr>
          <w:trHeight w:val="259"/>
          <w:jc w:val="center"/>
        </w:trPr>
        <w:tc>
          <w:tcPr>
            <w:tcW w:w="1336" w:type="dxa"/>
            <w:shd w:val="clear" w:color="auto" w:fill="auto"/>
          </w:tcPr>
          <w:p w14:paraId="420E47DE" w14:textId="1B1177B2" w:rsidR="00D73F04" w:rsidRDefault="00D73F04" w:rsidP="00A94FE1">
            <w:pPr>
              <w:jc w:val="both"/>
            </w:pPr>
            <w:r w:rsidRPr="00ED639D">
              <w:rPr>
                <w:b/>
              </w:rPr>
              <w:t>Step 5:</w:t>
            </w:r>
            <w:r w:rsidR="00FE6739">
              <w:t xml:space="preserve"> ISO &amp; </w:t>
            </w:r>
            <w:r>
              <w:t>PCI Coordinator</w:t>
            </w:r>
          </w:p>
        </w:tc>
        <w:tc>
          <w:tcPr>
            <w:tcW w:w="8649" w:type="dxa"/>
          </w:tcPr>
          <w:p w14:paraId="38E7DCFA" w14:textId="77777777" w:rsidR="00D73F04" w:rsidRDefault="00D73F04" w:rsidP="00A94FE1">
            <w:pPr>
              <w:jc w:val="both"/>
            </w:pPr>
            <w:r>
              <w:t>Follow the PCI Incident Response Plan. This includes documenting the incident, validating the breach, controlling the breach, and notifying the card brands.</w:t>
            </w:r>
          </w:p>
        </w:tc>
      </w:tr>
      <w:tr w:rsidR="00D73F04" w14:paraId="37CEBA34" w14:textId="77777777" w:rsidTr="00ED639D">
        <w:trPr>
          <w:trHeight w:val="259"/>
          <w:jc w:val="center"/>
        </w:trPr>
        <w:tc>
          <w:tcPr>
            <w:tcW w:w="1336" w:type="dxa"/>
            <w:shd w:val="clear" w:color="auto" w:fill="auto"/>
          </w:tcPr>
          <w:p w14:paraId="70A01546" w14:textId="77777777" w:rsidR="00D73F04" w:rsidRDefault="00D73F04" w:rsidP="00A94FE1">
            <w:pPr>
              <w:jc w:val="both"/>
            </w:pPr>
            <w:r w:rsidRPr="00ED639D">
              <w:rPr>
                <w:b/>
              </w:rPr>
              <w:t>Step 6:</w:t>
            </w:r>
            <w:r>
              <w:t xml:space="preserve"> PCI Coordinator</w:t>
            </w:r>
          </w:p>
        </w:tc>
        <w:tc>
          <w:tcPr>
            <w:tcW w:w="8649" w:type="dxa"/>
          </w:tcPr>
          <w:p w14:paraId="485D212E" w14:textId="228D3D58" w:rsidR="00D73F04" w:rsidRDefault="00D73F04" w:rsidP="00A94FE1">
            <w:pPr>
              <w:jc w:val="both"/>
            </w:pPr>
            <w:r>
              <w:t>Once the threat</w:t>
            </w:r>
            <w:r w:rsidR="00545A1A">
              <w:t xml:space="preserve"> has been resolved, notify the m</w:t>
            </w:r>
            <w:r>
              <w:t>erchant(s) and Business Officer in writing that they may resume processing payments.</w:t>
            </w:r>
          </w:p>
        </w:tc>
      </w:tr>
    </w:tbl>
    <w:p w14:paraId="71F4F18F" w14:textId="20D4C077" w:rsidR="00D73F04" w:rsidRDefault="00D73F04" w:rsidP="00A94FE1">
      <w:pPr>
        <w:jc w:val="both"/>
      </w:pPr>
    </w:p>
    <w:p w14:paraId="1CE86B8D" w14:textId="65072634" w:rsidR="00D73F04" w:rsidRDefault="00D73F04" w:rsidP="00A94FE1">
      <w:pPr>
        <w:pStyle w:val="Heading2"/>
        <w:jc w:val="both"/>
      </w:pPr>
      <w:bookmarkStart w:id="21" w:name="_Toc2585502"/>
      <w:r>
        <w:t>6.0 Compliance Activities</w:t>
      </w:r>
      <w:bookmarkEnd w:id="21"/>
    </w:p>
    <w:tbl>
      <w:tblPr>
        <w:tblW w:w="10087" w:type="dxa"/>
        <w:jc w:val="center"/>
        <w:tblCellMar>
          <w:top w:w="85" w:type="dxa"/>
          <w:left w:w="85" w:type="dxa"/>
          <w:bottom w:w="85" w:type="dxa"/>
          <w:right w:w="85" w:type="dxa"/>
        </w:tblCellMar>
        <w:tblLook w:val="01E0" w:firstRow="1" w:lastRow="1" w:firstColumn="1" w:lastColumn="1" w:noHBand="0" w:noVBand="0"/>
      </w:tblPr>
      <w:tblGrid>
        <w:gridCol w:w="1336"/>
        <w:gridCol w:w="8751"/>
      </w:tblGrid>
      <w:tr w:rsidR="00D73F04" w:rsidRPr="00B81968" w14:paraId="5BA1FB20" w14:textId="77777777" w:rsidTr="00ED639D">
        <w:trPr>
          <w:trHeight w:val="259"/>
          <w:jc w:val="center"/>
        </w:trPr>
        <w:tc>
          <w:tcPr>
            <w:tcW w:w="1251" w:type="dxa"/>
            <w:shd w:val="clear" w:color="auto" w:fill="auto"/>
          </w:tcPr>
          <w:p w14:paraId="4796F3B7" w14:textId="77777777" w:rsidR="00D73F04" w:rsidRPr="00ED528B" w:rsidRDefault="00D73F04" w:rsidP="00A94FE1">
            <w:pPr>
              <w:jc w:val="both"/>
            </w:pPr>
            <w:r w:rsidRPr="00ED639D">
              <w:rPr>
                <w:b/>
              </w:rPr>
              <w:t>Step 1:</w:t>
            </w:r>
            <w:r>
              <w:t xml:space="preserve"> Merchant</w:t>
            </w:r>
          </w:p>
        </w:tc>
        <w:tc>
          <w:tcPr>
            <w:tcW w:w="8836" w:type="dxa"/>
          </w:tcPr>
          <w:p w14:paraId="0510945E" w14:textId="77777777" w:rsidR="00D73F04" w:rsidRDefault="00D73F04" w:rsidP="00A94FE1">
            <w:pPr>
              <w:jc w:val="both"/>
            </w:pPr>
            <w:r>
              <w:t>Designate a point of contact who will be responsible for PCI for each payment stream. This individual is the PCI Merchant Contact. They will be responsible for:</w:t>
            </w:r>
          </w:p>
          <w:p w14:paraId="6818884D" w14:textId="127ADB01" w:rsidR="00D73F04" w:rsidRDefault="00D73F04" w:rsidP="00A94FE1">
            <w:pPr>
              <w:pStyle w:val="ListParagraph"/>
              <w:numPr>
                <w:ilvl w:val="0"/>
                <w:numId w:val="26"/>
              </w:numPr>
              <w:jc w:val="both"/>
            </w:pPr>
            <w:r>
              <w:t xml:space="preserve">Conducting weekly inspections of POS devices (includes card swipe devices, pay and display machines, PIN pads). This becomes a daily inspection if the devices </w:t>
            </w:r>
            <w:proofErr w:type="gramStart"/>
            <w:r>
              <w:t>are located in</w:t>
            </w:r>
            <w:proofErr w:type="gramEnd"/>
            <w:r>
              <w:t xml:space="preserve"> a </w:t>
            </w:r>
            <w:r w:rsidR="009654D8">
              <w:t>publicly</w:t>
            </w:r>
            <w:r>
              <w:t xml:space="preserve"> accessible area or are left unattended.</w:t>
            </w:r>
          </w:p>
          <w:p w14:paraId="1031EDFB" w14:textId="77777777" w:rsidR="00D73F04" w:rsidRDefault="00D73F04" w:rsidP="00A94FE1">
            <w:pPr>
              <w:pStyle w:val="ListParagraph"/>
              <w:numPr>
                <w:ilvl w:val="1"/>
                <w:numId w:val="26"/>
              </w:numPr>
              <w:jc w:val="both"/>
            </w:pPr>
            <w:r>
              <w:t>These need to be logged and submitted to the PCI Coordinator every Mar, Jun, Sept, and Dec.</w:t>
            </w:r>
          </w:p>
          <w:p w14:paraId="66838142" w14:textId="77777777" w:rsidR="00D73F04" w:rsidRDefault="00D73F04" w:rsidP="00A94FE1">
            <w:pPr>
              <w:pStyle w:val="ListParagraph"/>
              <w:numPr>
                <w:ilvl w:val="0"/>
                <w:numId w:val="26"/>
              </w:numPr>
              <w:jc w:val="both"/>
            </w:pPr>
            <w:r>
              <w:lastRenderedPageBreak/>
              <w:t>Ensuring any paper physical media, POS devices, etc. are stored according to the proper procedures.</w:t>
            </w:r>
          </w:p>
          <w:p w14:paraId="5E02C154" w14:textId="77777777" w:rsidR="00D73F04" w:rsidRDefault="00D73F04" w:rsidP="00A94FE1">
            <w:pPr>
              <w:pStyle w:val="ListParagraph"/>
              <w:numPr>
                <w:ilvl w:val="0"/>
                <w:numId w:val="26"/>
              </w:numPr>
              <w:jc w:val="both"/>
            </w:pPr>
            <w:r>
              <w:t>Ensuring that those with access to payment card data have been appropriately trained and signed the Payment Card Security &amp; Ethics Agreement.</w:t>
            </w:r>
          </w:p>
          <w:p w14:paraId="2ABF9320" w14:textId="77777777" w:rsidR="00D73F04" w:rsidRDefault="00D73F04" w:rsidP="00A94FE1">
            <w:pPr>
              <w:pStyle w:val="ListParagraph"/>
              <w:numPr>
                <w:ilvl w:val="0"/>
                <w:numId w:val="26"/>
              </w:numPr>
              <w:jc w:val="both"/>
            </w:pPr>
            <w:r>
              <w:t>Ordering required PCI equipment.</w:t>
            </w:r>
          </w:p>
          <w:p w14:paraId="127C03C7" w14:textId="77777777" w:rsidR="00D73F04" w:rsidRDefault="00D73F04" w:rsidP="00A94FE1">
            <w:pPr>
              <w:pStyle w:val="ListParagraph"/>
              <w:numPr>
                <w:ilvl w:val="0"/>
                <w:numId w:val="26"/>
              </w:numPr>
              <w:jc w:val="both"/>
            </w:pPr>
            <w:r>
              <w:t>Requesting new user access.</w:t>
            </w:r>
          </w:p>
          <w:p w14:paraId="3AA991E8" w14:textId="77777777" w:rsidR="00D73F04" w:rsidRDefault="00D73F04" w:rsidP="00A94FE1">
            <w:pPr>
              <w:pStyle w:val="ListParagraph"/>
              <w:numPr>
                <w:ilvl w:val="0"/>
                <w:numId w:val="26"/>
              </w:numPr>
              <w:jc w:val="both"/>
            </w:pPr>
            <w:r>
              <w:t>Requesting a termination of user access.</w:t>
            </w:r>
          </w:p>
          <w:p w14:paraId="164F35FE" w14:textId="77777777" w:rsidR="00D73F04" w:rsidRDefault="00D73F04" w:rsidP="00A94FE1">
            <w:pPr>
              <w:pStyle w:val="ListParagraph"/>
              <w:numPr>
                <w:ilvl w:val="0"/>
                <w:numId w:val="26"/>
              </w:numPr>
              <w:jc w:val="both"/>
            </w:pPr>
            <w:r>
              <w:t>Maintaining a PCI Staff Log of all employees, contractors, and/or service providers operating on behalf of Queen’s who have access to payment card data and their user access.</w:t>
            </w:r>
          </w:p>
          <w:p w14:paraId="77D71A66" w14:textId="77777777" w:rsidR="00D73F04" w:rsidRPr="00AD5683" w:rsidRDefault="00D73F04" w:rsidP="00A94FE1">
            <w:pPr>
              <w:pStyle w:val="ListParagraph"/>
              <w:numPr>
                <w:ilvl w:val="1"/>
                <w:numId w:val="26"/>
              </w:numPr>
              <w:jc w:val="both"/>
            </w:pPr>
            <w:r>
              <w:t>These need to be submitted to the PCI Coordinator every Mar, Jun, Sept, and Dec.</w:t>
            </w:r>
          </w:p>
          <w:p w14:paraId="121CC60D" w14:textId="77777777" w:rsidR="00D73F04" w:rsidRDefault="00D73F04" w:rsidP="00A94FE1">
            <w:pPr>
              <w:pStyle w:val="ListParagraph"/>
              <w:numPr>
                <w:ilvl w:val="0"/>
                <w:numId w:val="26"/>
              </w:numPr>
              <w:jc w:val="both"/>
            </w:pPr>
            <w:r>
              <w:t>Working with the PCI Coordinator to facilitate the annual PCI compliance audit documentation (Declaration Documents, SAQs, and AOCs).</w:t>
            </w:r>
          </w:p>
          <w:p w14:paraId="74E69219" w14:textId="77777777" w:rsidR="00D73F04" w:rsidRDefault="00D73F04" w:rsidP="00A94FE1">
            <w:pPr>
              <w:pStyle w:val="ListParagraph"/>
              <w:numPr>
                <w:ilvl w:val="1"/>
                <w:numId w:val="26"/>
              </w:numPr>
              <w:jc w:val="both"/>
            </w:pPr>
            <w:r>
              <w:t>Annually in Nov.</w:t>
            </w:r>
          </w:p>
          <w:p w14:paraId="0529D625" w14:textId="4A18EC55" w:rsidR="00050C6F" w:rsidRDefault="00050C6F" w:rsidP="00A94FE1">
            <w:pPr>
              <w:pStyle w:val="ListParagraph"/>
              <w:numPr>
                <w:ilvl w:val="0"/>
                <w:numId w:val="26"/>
              </w:numPr>
              <w:jc w:val="both"/>
            </w:pPr>
            <w:r>
              <w:t xml:space="preserve">Submitting any necessary service provider AOC, P2PE, or </w:t>
            </w:r>
            <w:r w:rsidRPr="00050C6F">
              <w:t>PA DSS documentation to the PCI Coordinator</w:t>
            </w:r>
          </w:p>
          <w:p w14:paraId="4C7FBDD2" w14:textId="1753CE9B" w:rsidR="00D73F04" w:rsidRPr="00B81968" w:rsidRDefault="00D73F04" w:rsidP="00A94FE1">
            <w:pPr>
              <w:pStyle w:val="ListParagraph"/>
              <w:numPr>
                <w:ilvl w:val="0"/>
                <w:numId w:val="26"/>
              </w:numPr>
              <w:jc w:val="both"/>
            </w:pPr>
            <w:r>
              <w:t>Reporting any violations of the Payment Card Acceptance Policy and/or Procedures to the PCI Coordinator.</w:t>
            </w:r>
          </w:p>
        </w:tc>
      </w:tr>
      <w:tr w:rsidR="00D73F04" w14:paraId="3AD9CD7C" w14:textId="77777777" w:rsidTr="00ED639D">
        <w:trPr>
          <w:trHeight w:val="259"/>
          <w:jc w:val="center"/>
        </w:trPr>
        <w:tc>
          <w:tcPr>
            <w:tcW w:w="1251" w:type="dxa"/>
            <w:shd w:val="clear" w:color="auto" w:fill="auto"/>
          </w:tcPr>
          <w:p w14:paraId="702BF2A8" w14:textId="77777777" w:rsidR="00D73F04" w:rsidRDefault="00D73F04" w:rsidP="00A94FE1">
            <w:pPr>
              <w:jc w:val="both"/>
            </w:pPr>
            <w:r w:rsidRPr="00ED639D">
              <w:rPr>
                <w:b/>
              </w:rPr>
              <w:lastRenderedPageBreak/>
              <w:t>Step 2:</w:t>
            </w:r>
            <w:r>
              <w:t xml:space="preserve"> PCI Coordinator</w:t>
            </w:r>
          </w:p>
        </w:tc>
        <w:tc>
          <w:tcPr>
            <w:tcW w:w="8836" w:type="dxa"/>
          </w:tcPr>
          <w:p w14:paraId="610916C8" w14:textId="09AC70F8" w:rsidR="00D73F04" w:rsidRDefault="00D73F04" w:rsidP="00A94FE1">
            <w:pPr>
              <w:jc w:val="both"/>
            </w:pPr>
            <w:r>
              <w:t xml:space="preserve">Maintain a file with </w:t>
            </w:r>
            <w:r w:rsidR="00545A1A">
              <w:t>Merchant POS Inspection L</w:t>
            </w:r>
            <w:r>
              <w:t>ogs, PCI Staff Logs, quarterly ASV scans, and annual compliance documentation (Declaration Documents, SAQs, and AOCs).</w:t>
            </w:r>
          </w:p>
          <w:p w14:paraId="283F7B83" w14:textId="77777777" w:rsidR="00D73F04" w:rsidRDefault="00D73F04" w:rsidP="00A94FE1">
            <w:pPr>
              <w:jc w:val="both"/>
            </w:pPr>
            <w:r>
              <w:t>Remit quarterly ASV scans to the Acquirer.</w:t>
            </w:r>
          </w:p>
          <w:p w14:paraId="0220AEAD" w14:textId="77777777" w:rsidR="00D73F04" w:rsidRDefault="00D73F04" w:rsidP="00A94FE1">
            <w:pPr>
              <w:jc w:val="both"/>
            </w:pPr>
            <w:r>
              <w:t>Submit evidence of annual PCI compliance to the Acquirer.</w:t>
            </w:r>
          </w:p>
        </w:tc>
      </w:tr>
      <w:tr w:rsidR="00D73F04" w14:paraId="348DC398" w14:textId="77777777" w:rsidTr="00ED639D">
        <w:trPr>
          <w:trHeight w:val="259"/>
          <w:jc w:val="center"/>
        </w:trPr>
        <w:tc>
          <w:tcPr>
            <w:tcW w:w="1251" w:type="dxa"/>
            <w:shd w:val="clear" w:color="auto" w:fill="auto"/>
          </w:tcPr>
          <w:p w14:paraId="50ACCF16" w14:textId="77777777" w:rsidR="00D73F04" w:rsidRDefault="00D73F04" w:rsidP="00A94FE1">
            <w:pPr>
              <w:jc w:val="both"/>
            </w:pPr>
            <w:r w:rsidRPr="00ED639D">
              <w:rPr>
                <w:b/>
              </w:rPr>
              <w:t>Step 3:</w:t>
            </w:r>
            <w:r>
              <w:t xml:space="preserve"> PCI Coordinator</w:t>
            </w:r>
          </w:p>
        </w:tc>
        <w:tc>
          <w:tcPr>
            <w:tcW w:w="8836" w:type="dxa"/>
          </w:tcPr>
          <w:p w14:paraId="109162F3" w14:textId="77777777" w:rsidR="00D73F04" w:rsidRDefault="00D73F04" w:rsidP="00A94FE1">
            <w:pPr>
              <w:jc w:val="both"/>
            </w:pPr>
            <w:r>
              <w:t>Assess any reports of non-compliance, notify the Business Officer (and Information Security Officer as required) in writing, and determine remediation required.</w:t>
            </w:r>
          </w:p>
        </w:tc>
      </w:tr>
    </w:tbl>
    <w:p w14:paraId="6B4A5EB1" w14:textId="0D07E89F" w:rsidR="00D73F04" w:rsidRDefault="00D73F04" w:rsidP="00A94FE1">
      <w:pPr>
        <w:jc w:val="both"/>
      </w:pPr>
    </w:p>
    <w:p w14:paraId="1652D373" w14:textId="0DFD41D7" w:rsidR="00D73F04" w:rsidRDefault="00D73F04" w:rsidP="00A94FE1">
      <w:pPr>
        <w:pStyle w:val="Heading2"/>
        <w:jc w:val="both"/>
      </w:pPr>
      <w:bookmarkStart w:id="22" w:name="_Toc2585503"/>
      <w:r>
        <w:t>7.0 Definitions</w:t>
      </w:r>
      <w:bookmarkEnd w:id="22"/>
    </w:p>
    <w:tbl>
      <w:tblPr>
        <w:tblW w:w="10075" w:type="dxa"/>
        <w:jc w:val="center"/>
        <w:tblCellMar>
          <w:top w:w="85" w:type="dxa"/>
          <w:left w:w="85" w:type="dxa"/>
          <w:bottom w:w="85" w:type="dxa"/>
          <w:right w:w="85" w:type="dxa"/>
        </w:tblCellMar>
        <w:tblLook w:val="01E0" w:firstRow="1" w:lastRow="1" w:firstColumn="1" w:lastColumn="1" w:noHBand="0" w:noVBand="0"/>
      </w:tblPr>
      <w:tblGrid>
        <w:gridCol w:w="2754"/>
        <w:gridCol w:w="7321"/>
      </w:tblGrid>
      <w:tr w:rsidR="00D73F04" w14:paraId="33E65570" w14:textId="77777777" w:rsidTr="00ED639D">
        <w:trPr>
          <w:trHeight w:val="259"/>
          <w:jc w:val="center"/>
        </w:trPr>
        <w:tc>
          <w:tcPr>
            <w:tcW w:w="2754" w:type="dxa"/>
            <w:shd w:val="clear" w:color="auto" w:fill="auto"/>
          </w:tcPr>
          <w:p w14:paraId="3B6CD757" w14:textId="77777777" w:rsidR="00D73F04" w:rsidRPr="00ED639D" w:rsidRDefault="00D73F04" w:rsidP="00A94FE1">
            <w:pPr>
              <w:jc w:val="both"/>
              <w:rPr>
                <w:b/>
              </w:rPr>
            </w:pPr>
            <w:r w:rsidRPr="00ED639D">
              <w:rPr>
                <w:b/>
              </w:rPr>
              <w:t>Access Control</w:t>
            </w:r>
          </w:p>
        </w:tc>
        <w:tc>
          <w:tcPr>
            <w:tcW w:w="7321" w:type="dxa"/>
          </w:tcPr>
          <w:p w14:paraId="598DE711" w14:textId="77777777" w:rsidR="00D73F04" w:rsidRDefault="00D73F04" w:rsidP="00A94FE1">
            <w:pPr>
              <w:jc w:val="both"/>
            </w:pPr>
            <w:r w:rsidRPr="00F25B11">
              <w:t>The process of controlling access to applications at a granular level, such as per-user, per-group, and per-resources.</w:t>
            </w:r>
            <w:bookmarkStart w:id="23" w:name="_Ref536601687"/>
            <w:r>
              <w:rPr>
                <w:rStyle w:val="EndnoteReference"/>
              </w:rPr>
              <w:endnoteReference w:id="1"/>
            </w:r>
            <w:bookmarkEnd w:id="23"/>
          </w:p>
        </w:tc>
      </w:tr>
      <w:tr w:rsidR="00D73F04" w14:paraId="01DA6CA5" w14:textId="77777777" w:rsidTr="00ED639D">
        <w:trPr>
          <w:trHeight w:val="259"/>
          <w:jc w:val="center"/>
        </w:trPr>
        <w:tc>
          <w:tcPr>
            <w:tcW w:w="2754" w:type="dxa"/>
            <w:shd w:val="clear" w:color="auto" w:fill="auto"/>
          </w:tcPr>
          <w:p w14:paraId="2668707F" w14:textId="77777777" w:rsidR="00D73F04" w:rsidRPr="00ED639D" w:rsidRDefault="00D73F04" w:rsidP="00A94FE1">
            <w:pPr>
              <w:jc w:val="both"/>
              <w:rPr>
                <w:b/>
              </w:rPr>
            </w:pPr>
            <w:r w:rsidRPr="00ED639D">
              <w:rPr>
                <w:b/>
              </w:rPr>
              <w:t>Acquirer</w:t>
            </w:r>
          </w:p>
        </w:tc>
        <w:tc>
          <w:tcPr>
            <w:tcW w:w="7321" w:type="dxa"/>
          </w:tcPr>
          <w:p w14:paraId="0FB08491" w14:textId="771E57B8" w:rsidR="00D73F04" w:rsidRDefault="00D73F04" w:rsidP="00A94FE1">
            <w:pPr>
              <w:jc w:val="both"/>
            </w:pPr>
            <w:r>
              <w:t>Also referred to as “merchant bank,” “acquiring bank,” or “acquiring financial institution”. Entity, typically a financial institution</w:t>
            </w:r>
            <w:r w:rsidR="00DB5404">
              <w:t>,</w:t>
            </w:r>
            <w:r>
              <w:t xml:space="preserve"> that processes payment card transactions for merchants and is defined by a payment brand as an acquirer. Acquirers are subject to payment brand rules and procedures regarding merchant compliance.</w:t>
            </w:r>
            <w:r>
              <w:fldChar w:fldCharType="begin"/>
            </w:r>
            <w:r>
              <w:instrText xml:space="preserve"> NOTEREF _Ref536601687 \f \h </w:instrText>
            </w:r>
            <w:r w:rsidR="00ED639D">
              <w:instrText xml:space="preserve"> \* MERGEFORMAT </w:instrText>
            </w:r>
            <w:r>
              <w:fldChar w:fldCharType="separate"/>
            </w:r>
            <w:r w:rsidRPr="00036F32">
              <w:rPr>
                <w:rStyle w:val="EndnoteReference"/>
              </w:rPr>
              <w:t>i</w:t>
            </w:r>
            <w:r>
              <w:fldChar w:fldCharType="end"/>
            </w:r>
          </w:p>
        </w:tc>
      </w:tr>
      <w:tr w:rsidR="00D73F04" w14:paraId="040091C2" w14:textId="77777777" w:rsidTr="00ED639D">
        <w:trPr>
          <w:trHeight w:val="259"/>
          <w:jc w:val="center"/>
        </w:trPr>
        <w:tc>
          <w:tcPr>
            <w:tcW w:w="2754" w:type="dxa"/>
            <w:shd w:val="clear" w:color="auto" w:fill="auto"/>
          </w:tcPr>
          <w:p w14:paraId="3386B1BC" w14:textId="77777777" w:rsidR="00D73F04" w:rsidRPr="00ED639D" w:rsidRDefault="00D73F04" w:rsidP="00A94FE1">
            <w:pPr>
              <w:jc w:val="both"/>
              <w:rPr>
                <w:b/>
              </w:rPr>
            </w:pPr>
            <w:r w:rsidRPr="00ED639D">
              <w:rPr>
                <w:b/>
              </w:rPr>
              <w:t>Administrative Access</w:t>
            </w:r>
          </w:p>
        </w:tc>
        <w:tc>
          <w:tcPr>
            <w:tcW w:w="7321" w:type="dxa"/>
          </w:tcPr>
          <w:p w14:paraId="515D5130" w14:textId="4B995B71" w:rsidR="00D73F04" w:rsidRDefault="00D73F04" w:rsidP="00A94FE1">
            <w:pPr>
              <w:jc w:val="both"/>
            </w:pPr>
            <w:r>
              <w:t xml:space="preserve">Elevated or increased privileges granted to an account </w:t>
            </w:r>
            <w:proofErr w:type="gramStart"/>
            <w:r>
              <w:t>in order for</w:t>
            </w:r>
            <w:proofErr w:type="gramEnd"/>
            <w:r>
              <w:t xml:space="preserve"> that account to manage business rules, systems, networks and/or applications. Administrative access can be assigned to an individual or system account. Accounts with administrative access are often referred to as “superuser”, “root”, “administrator”, “admin”, “sysadmin” or </w:t>
            </w:r>
            <w:r>
              <w:lastRenderedPageBreak/>
              <w:t xml:space="preserve">“supervisor-state”, depending on the particular operating system and organizational </w:t>
            </w:r>
            <w:proofErr w:type="spellStart"/>
            <w:r>
              <w:t>structure.</w:t>
            </w:r>
            <w:r>
              <w:fldChar w:fldCharType="begin"/>
            </w:r>
            <w:r>
              <w:instrText xml:space="preserve"> NOTEREF _Ref536601687 \f \h </w:instrText>
            </w:r>
            <w:r w:rsidR="00ED639D">
              <w:instrText xml:space="preserve"> \* MERGEFORMAT </w:instrText>
            </w:r>
            <w:r>
              <w:fldChar w:fldCharType="separate"/>
            </w:r>
            <w:r w:rsidRPr="00036F32">
              <w:rPr>
                <w:rStyle w:val="EndnoteReference"/>
              </w:rPr>
              <w:t>i</w:t>
            </w:r>
            <w:proofErr w:type="spellEnd"/>
            <w:r>
              <w:fldChar w:fldCharType="end"/>
            </w:r>
          </w:p>
        </w:tc>
      </w:tr>
      <w:tr w:rsidR="00D73F04" w14:paraId="200691EE" w14:textId="77777777" w:rsidTr="00ED639D">
        <w:trPr>
          <w:trHeight w:val="259"/>
          <w:jc w:val="center"/>
        </w:trPr>
        <w:tc>
          <w:tcPr>
            <w:tcW w:w="2754" w:type="dxa"/>
            <w:shd w:val="clear" w:color="auto" w:fill="auto"/>
          </w:tcPr>
          <w:p w14:paraId="24E4617F" w14:textId="77777777" w:rsidR="00D73F04" w:rsidRPr="00ED639D" w:rsidRDefault="00D73F04" w:rsidP="00A94FE1">
            <w:pPr>
              <w:jc w:val="both"/>
              <w:rPr>
                <w:b/>
              </w:rPr>
            </w:pPr>
            <w:r w:rsidRPr="00ED639D">
              <w:rPr>
                <w:b/>
              </w:rPr>
              <w:lastRenderedPageBreak/>
              <w:t>Application</w:t>
            </w:r>
          </w:p>
        </w:tc>
        <w:tc>
          <w:tcPr>
            <w:tcW w:w="7321" w:type="dxa"/>
          </w:tcPr>
          <w:p w14:paraId="687D0A71" w14:textId="5555E12E" w:rsidR="00D73F04" w:rsidRDefault="00D73F04" w:rsidP="00A94FE1">
            <w:pPr>
              <w:jc w:val="both"/>
            </w:pPr>
            <w:r w:rsidRPr="00F25B11">
              <w:t xml:space="preserve">The system, functional area, or problem to which information technology is applied. The application includes related manual procedures as well as automated procedures. Payroll, accounting, and management information systems are examples of </w:t>
            </w:r>
            <w:proofErr w:type="spellStart"/>
            <w:r w:rsidRPr="00F25B11">
              <w:t>applications.</w:t>
            </w:r>
            <w:r>
              <w:fldChar w:fldCharType="begin"/>
            </w:r>
            <w:r>
              <w:instrText xml:space="preserve"> NOTEREF _Ref536601687 \f \h </w:instrText>
            </w:r>
            <w:r w:rsidR="00ED639D">
              <w:instrText xml:space="preserve"> \* MERGEFORMAT </w:instrText>
            </w:r>
            <w:r>
              <w:fldChar w:fldCharType="separate"/>
            </w:r>
            <w:r w:rsidRPr="00036F32">
              <w:rPr>
                <w:rStyle w:val="EndnoteReference"/>
              </w:rPr>
              <w:t>i</w:t>
            </w:r>
            <w:proofErr w:type="spellEnd"/>
            <w:r>
              <w:fldChar w:fldCharType="end"/>
            </w:r>
          </w:p>
        </w:tc>
      </w:tr>
      <w:tr w:rsidR="00D73F04" w14:paraId="7A0AABB1" w14:textId="77777777" w:rsidTr="00ED639D">
        <w:trPr>
          <w:trHeight w:val="259"/>
          <w:jc w:val="center"/>
        </w:trPr>
        <w:tc>
          <w:tcPr>
            <w:tcW w:w="2754" w:type="dxa"/>
            <w:shd w:val="clear" w:color="auto" w:fill="auto"/>
          </w:tcPr>
          <w:p w14:paraId="37191B1F" w14:textId="77777777" w:rsidR="00D73F04" w:rsidRPr="00ED639D" w:rsidRDefault="00D73F04" w:rsidP="00A94FE1">
            <w:pPr>
              <w:rPr>
                <w:b/>
              </w:rPr>
            </w:pPr>
            <w:r w:rsidRPr="00ED639D">
              <w:rPr>
                <w:b/>
              </w:rPr>
              <w:t>Approved Scanning Vendor (ASV)</w:t>
            </w:r>
          </w:p>
        </w:tc>
        <w:tc>
          <w:tcPr>
            <w:tcW w:w="7321" w:type="dxa"/>
          </w:tcPr>
          <w:p w14:paraId="59324EEC" w14:textId="5AAC8776" w:rsidR="00D73F04" w:rsidRDefault="00D73F04" w:rsidP="00A94FE1">
            <w:pPr>
              <w:jc w:val="both"/>
            </w:pPr>
            <w:r>
              <w:t>C</w:t>
            </w:r>
            <w:r w:rsidRPr="00F25B11">
              <w:t xml:space="preserve">ompany approved by the </w:t>
            </w:r>
            <w:r>
              <w:t>Payment Card Industry Security Standards Council</w:t>
            </w:r>
            <w:r w:rsidRPr="00F25B11">
              <w:t xml:space="preserve"> to conduct external vulnerability scanning </w:t>
            </w:r>
            <w:proofErr w:type="spellStart"/>
            <w:r w:rsidRPr="00F25B11">
              <w:t>services</w:t>
            </w:r>
            <w:r>
              <w:t>.</w:t>
            </w:r>
            <w:r>
              <w:fldChar w:fldCharType="begin"/>
            </w:r>
            <w:r>
              <w:instrText xml:space="preserve"> NOTEREF _Ref536601687 \f \h </w:instrText>
            </w:r>
            <w:r w:rsidR="00ED639D">
              <w:instrText xml:space="preserve"> \* MERGEFORMAT </w:instrText>
            </w:r>
            <w:r>
              <w:fldChar w:fldCharType="separate"/>
            </w:r>
            <w:r w:rsidRPr="00036F32">
              <w:rPr>
                <w:rStyle w:val="EndnoteReference"/>
              </w:rPr>
              <w:t>i</w:t>
            </w:r>
            <w:proofErr w:type="spellEnd"/>
            <w:r>
              <w:fldChar w:fldCharType="end"/>
            </w:r>
          </w:p>
        </w:tc>
      </w:tr>
      <w:tr w:rsidR="00D73F04" w:rsidDel="00F25B11" w14:paraId="38FBC8FC" w14:textId="77777777" w:rsidTr="00ED639D">
        <w:trPr>
          <w:trHeight w:val="259"/>
          <w:jc w:val="center"/>
        </w:trPr>
        <w:tc>
          <w:tcPr>
            <w:tcW w:w="2754" w:type="dxa"/>
            <w:shd w:val="clear" w:color="auto" w:fill="auto"/>
          </w:tcPr>
          <w:p w14:paraId="06699E17" w14:textId="77777777" w:rsidR="00D73F04" w:rsidRPr="00ED639D" w:rsidRDefault="00D73F04" w:rsidP="00A94FE1">
            <w:pPr>
              <w:rPr>
                <w:b/>
              </w:rPr>
            </w:pPr>
            <w:r w:rsidRPr="00ED639D">
              <w:rPr>
                <w:b/>
              </w:rPr>
              <w:t>Attestation of Compliance (AOC)</w:t>
            </w:r>
          </w:p>
        </w:tc>
        <w:tc>
          <w:tcPr>
            <w:tcW w:w="7321" w:type="dxa"/>
          </w:tcPr>
          <w:p w14:paraId="1CE28457" w14:textId="27D5AD55" w:rsidR="00D73F04" w:rsidDel="00F25B11" w:rsidRDefault="00D73F04" w:rsidP="00A94FE1">
            <w:pPr>
              <w:jc w:val="both"/>
            </w:pPr>
            <w:r>
              <w:t>The AOC is a form for merchants and service providers to attest to the results of a Payment Card Industry Data Security Standard assessment, as documented in the Self-Assessment Questionnaire or Report on Compliance.</w:t>
            </w:r>
            <w:r>
              <w:fldChar w:fldCharType="begin"/>
            </w:r>
            <w:r>
              <w:instrText xml:space="preserve"> NOTEREF _Ref536601687 \f \h </w:instrText>
            </w:r>
            <w:r w:rsidR="00ED639D">
              <w:instrText xml:space="preserve"> \* MERGEFORMAT </w:instrText>
            </w:r>
            <w:r>
              <w:fldChar w:fldCharType="separate"/>
            </w:r>
            <w:r w:rsidRPr="00036F32">
              <w:rPr>
                <w:rStyle w:val="EndnoteReference"/>
              </w:rPr>
              <w:t>i</w:t>
            </w:r>
            <w:r>
              <w:fldChar w:fldCharType="end"/>
            </w:r>
          </w:p>
        </w:tc>
      </w:tr>
      <w:tr w:rsidR="00D73F04" w14:paraId="21D709B2" w14:textId="77777777" w:rsidTr="00ED639D">
        <w:trPr>
          <w:trHeight w:val="259"/>
          <w:jc w:val="center"/>
        </w:trPr>
        <w:tc>
          <w:tcPr>
            <w:tcW w:w="2754" w:type="dxa"/>
            <w:shd w:val="clear" w:color="auto" w:fill="auto"/>
          </w:tcPr>
          <w:p w14:paraId="2E5A3B0C" w14:textId="77777777" w:rsidR="00D73F04" w:rsidRPr="00ED639D" w:rsidRDefault="00D73F04" w:rsidP="00A94FE1">
            <w:pPr>
              <w:jc w:val="both"/>
              <w:rPr>
                <w:b/>
              </w:rPr>
            </w:pPr>
            <w:r w:rsidRPr="00ED639D">
              <w:rPr>
                <w:b/>
              </w:rPr>
              <w:t>Authentication</w:t>
            </w:r>
          </w:p>
        </w:tc>
        <w:tc>
          <w:tcPr>
            <w:tcW w:w="7321" w:type="dxa"/>
          </w:tcPr>
          <w:p w14:paraId="56980A7C" w14:textId="4EF7E7C5" w:rsidR="00D73F04" w:rsidRDefault="00D73F04" w:rsidP="00A94FE1">
            <w:pPr>
              <w:jc w:val="both"/>
            </w:pPr>
            <w:r>
              <w:t>Process of verifying the identity of an individual, device, or process as a prerequisite to allowing access to resources in an information system. Authentication typically occurs using one or more authentication factors such as: something you know</w:t>
            </w:r>
            <w:r w:rsidR="00400579">
              <w:t xml:space="preserve">- </w:t>
            </w:r>
            <w:r>
              <w:t>such as a password or passphrase, something you have</w:t>
            </w:r>
            <w:r w:rsidR="00400579">
              <w:t>-</w:t>
            </w:r>
            <w:r>
              <w:t xml:space="preserve"> such as a token device or smart card, something you are</w:t>
            </w:r>
            <w:r w:rsidR="00400579">
              <w:t xml:space="preserve">- </w:t>
            </w:r>
            <w:r>
              <w:t xml:space="preserve">such as a </w:t>
            </w:r>
            <w:proofErr w:type="spellStart"/>
            <w:r>
              <w:t>biometric.</w:t>
            </w:r>
            <w:r>
              <w:fldChar w:fldCharType="begin"/>
            </w:r>
            <w:r>
              <w:instrText xml:space="preserve"> NOTEREF _Ref536601687 \f \h </w:instrText>
            </w:r>
            <w:r w:rsidR="00ED639D">
              <w:instrText xml:space="preserve"> \* MERGEFORMAT </w:instrText>
            </w:r>
            <w:r>
              <w:fldChar w:fldCharType="separate"/>
            </w:r>
            <w:r w:rsidRPr="00036F32">
              <w:rPr>
                <w:rStyle w:val="EndnoteReference"/>
              </w:rPr>
              <w:t>i</w:t>
            </w:r>
            <w:proofErr w:type="spellEnd"/>
            <w:r>
              <w:fldChar w:fldCharType="end"/>
            </w:r>
          </w:p>
        </w:tc>
      </w:tr>
      <w:tr w:rsidR="00D73F04" w14:paraId="2243A99A" w14:textId="77777777" w:rsidTr="00ED639D">
        <w:trPr>
          <w:trHeight w:val="259"/>
          <w:jc w:val="center"/>
        </w:trPr>
        <w:tc>
          <w:tcPr>
            <w:tcW w:w="2754" w:type="dxa"/>
            <w:shd w:val="clear" w:color="auto" w:fill="auto"/>
          </w:tcPr>
          <w:p w14:paraId="519BB28D" w14:textId="77777777" w:rsidR="00D73F04" w:rsidRPr="00ED639D" w:rsidRDefault="00D73F04" w:rsidP="00A94FE1">
            <w:pPr>
              <w:jc w:val="both"/>
              <w:rPr>
                <w:b/>
              </w:rPr>
            </w:pPr>
            <w:r w:rsidRPr="00ED639D">
              <w:rPr>
                <w:b/>
              </w:rPr>
              <w:t>Authorization</w:t>
            </w:r>
          </w:p>
        </w:tc>
        <w:tc>
          <w:tcPr>
            <w:tcW w:w="7321" w:type="dxa"/>
          </w:tcPr>
          <w:p w14:paraId="5D1DB099" w14:textId="0E00A89C" w:rsidR="00D73F04" w:rsidRDefault="00D73F04" w:rsidP="00A94FE1">
            <w:pPr>
              <w:jc w:val="both"/>
            </w:pPr>
            <w:r>
              <w:t xml:space="preserve">Access privileges granted to a user, program, or process or the act of granting those privileges (source: </w:t>
            </w:r>
            <w:r w:rsidRPr="00B00AC8">
              <w:t>CNSSI-4009</w:t>
            </w:r>
            <w:r>
              <w:t>)</w:t>
            </w:r>
          </w:p>
          <w:p w14:paraId="570CD491" w14:textId="59AE9D98" w:rsidR="00D73F04" w:rsidRDefault="00D73F04" w:rsidP="00A94FE1">
            <w:pPr>
              <w:jc w:val="both"/>
            </w:pPr>
            <w:r>
              <w:t>In the context of a payment card transaction, authorization occurs when a merchant receives transaction approval after the acquirer validates the transaction with the issuer/</w:t>
            </w:r>
            <w:proofErr w:type="spellStart"/>
            <w:r>
              <w:t>processor.</w:t>
            </w:r>
            <w:r>
              <w:fldChar w:fldCharType="begin"/>
            </w:r>
            <w:r>
              <w:instrText xml:space="preserve"> NOTEREF _Ref536601687 \f \h </w:instrText>
            </w:r>
            <w:r w:rsidR="00ED639D">
              <w:instrText xml:space="preserve"> \* MERGEFORMAT </w:instrText>
            </w:r>
            <w:r>
              <w:fldChar w:fldCharType="separate"/>
            </w:r>
            <w:r w:rsidRPr="00036F32">
              <w:rPr>
                <w:rStyle w:val="EndnoteReference"/>
              </w:rPr>
              <w:t>i</w:t>
            </w:r>
            <w:proofErr w:type="spellEnd"/>
            <w:r>
              <w:fldChar w:fldCharType="end"/>
            </w:r>
          </w:p>
        </w:tc>
      </w:tr>
      <w:tr w:rsidR="00D73F04" w14:paraId="2569C469" w14:textId="77777777" w:rsidTr="00ED639D">
        <w:trPr>
          <w:trHeight w:val="259"/>
          <w:jc w:val="center"/>
        </w:trPr>
        <w:tc>
          <w:tcPr>
            <w:tcW w:w="2754" w:type="dxa"/>
            <w:shd w:val="clear" w:color="auto" w:fill="auto"/>
          </w:tcPr>
          <w:p w14:paraId="18CE3424" w14:textId="77777777" w:rsidR="00D73F04" w:rsidRPr="00ED639D" w:rsidRDefault="00D73F04" w:rsidP="00A94FE1">
            <w:pPr>
              <w:rPr>
                <w:b/>
              </w:rPr>
            </w:pPr>
            <w:r w:rsidRPr="00ED639D">
              <w:rPr>
                <w:b/>
              </w:rPr>
              <w:t>Authorization to Operate (ATO)</w:t>
            </w:r>
          </w:p>
        </w:tc>
        <w:tc>
          <w:tcPr>
            <w:tcW w:w="7321" w:type="dxa"/>
          </w:tcPr>
          <w:p w14:paraId="39B30F96" w14:textId="0E306971" w:rsidR="00D73F04" w:rsidRDefault="00D73F04" w:rsidP="00A94FE1">
            <w:pPr>
              <w:jc w:val="both"/>
            </w:pPr>
            <w:r>
              <w:t xml:space="preserve">The ATO process </w:t>
            </w:r>
            <w:r w:rsidRPr="002C0FD0">
              <w:t xml:space="preserve">provides a structure, </w:t>
            </w:r>
            <w:proofErr w:type="gramStart"/>
            <w:r w:rsidRPr="002C0FD0">
              <w:t>templates</w:t>
            </w:r>
            <w:proofErr w:type="gramEnd"/>
            <w:r w:rsidRPr="002C0FD0">
              <w:t xml:space="preserve"> and </w:t>
            </w:r>
            <w:r w:rsidR="00400579" w:rsidRPr="002C0FD0">
              <w:t>checklist</w:t>
            </w:r>
            <w:r w:rsidRPr="002C0FD0">
              <w:t xml:space="preserve"> to manage risk in adoption of cloud applications at Queen's University.</w:t>
            </w:r>
          </w:p>
        </w:tc>
      </w:tr>
      <w:tr w:rsidR="00D73F04" w14:paraId="7B675059" w14:textId="77777777" w:rsidTr="00ED639D">
        <w:trPr>
          <w:trHeight w:val="259"/>
          <w:jc w:val="center"/>
        </w:trPr>
        <w:tc>
          <w:tcPr>
            <w:tcW w:w="2754" w:type="dxa"/>
            <w:shd w:val="clear" w:color="auto" w:fill="auto"/>
          </w:tcPr>
          <w:p w14:paraId="65A0BE98" w14:textId="77777777" w:rsidR="00D73F04" w:rsidRPr="00ED639D" w:rsidRDefault="00D73F04" w:rsidP="00A94FE1">
            <w:pPr>
              <w:jc w:val="both"/>
              <w:rPr>
                <w:b/>
              </w:rPr>
            </w:pPr>
            <w:r w:rsidRPr="00ED639D">
              <w:rPr>
                <w:b/>
              </w:rPr>
              <w:t>Business Officer</w:t>
            </w:r>
          </w:p>
        </w:tc>
        <w:tc>
          <w:tcPr>
            <w:tcW w:w="7321" w:type="dxa"/>
          </w:tcPr>
          <w:p w14:paraId="62BCADE0" w14:textId="77777777" w:rsidR="00D73F04" w:rsidRDefault="00D73F04" w:rsidP="00A94FE1">
            <w:pPr>
              <w:jc w:val="both"/>
            </w:pPr>
            <w:r>
              <w:t>The finance and/or operational authority for a department, faculty, or unit.</w:t>
            </w:r>
          </w:p>
        </w:tc>
      </w:tr>
      <w:tr w:rsidR="00D73F04" w:rsidRPr="00073381" w14:paraId="501C4986" w14:textId="77777777" w:rsidTr="00ED639D">
        <w:trPr>
          <w:trHeight w:val="259"/>
          <w:jc w:val="center"/>
        </w:trPr>
        <w:tc>
          <w:tcPr>
            <w:tcW w:w="2754" w:type="dxa"/>
            <w:shd w:val="clear" w:color="auto" w:fill="auto"/>
          </w:tcPr>
          <w:p w14:paraId="45826EB4" w14:textId="77777777" w:rsidR="00D73F04" w:rsidRPr="00ED639D" w:rsidRDefault="00D73F04" w:rsidP="00A94FE1">
            <w:pPr>
              <w:rPr>
                <w:b/>
              </w:rPr>
            </w:pPr>
            <w:r w:rsidRPr="00ED639D">
              <w:rPr>
                <w:b/>
              </w:rPr>
              <w:t>Card Payment Processing Steering Committee (CPPSC)</w:t>
            </w:r>
          </w:p>
        </w:tc>
        <w:tc>
          <w:tcPr>
            <w:tcW w:w="7321" w:type="dxa"/>
          </w:tcPr>
          <w:p w14:paraId="37DDB958" w14:textId="77777777" w:rsidR="00D73F04" w:rsidRPr="00073381" w:rsidRDefault="00D73F04" w:rsidP="00A94FE1">
            <w:pPr>
              <w:jc w:val="both"/>
            </w:pPr>
            <w:r>
              <w:t>An internal Queen’s Committee that governs card payment policy and procedure within the University.</w:t>
            </w:r>
          </w:p>
        </w:tc>
      </w:tr>
      <w:tr w:rsidR="00D73F04" w14:paraId="4809FAA3" w14:textId="77777777" w:rsidTr="00ED639D">
        <w:trPr>
          <w:trHeight w:val="259"/>
          <w:jc w:val="center"/>
        </w:trPr>
        <w:tc>
          <w:tcPr>
            <w:tcW w:w="2754" w:type="dxa"/>
            <w:shd w:val="clear" w:color="auto" w:fill="auto"/>
          </w:tcPr>
          <w:p w14:paraId="683D6A60" w14:textId="77777777" w:rsidR="00D73F04" w:rsidRPr="00ED639D" w:rsidRDefault="00D73F04" w:rsidP="00A94FE1">
            <w:pPr>
              <w:rPr>
                <w:b/>
              </w:rPr>
            </w:pPr>
            <w:r w:rsidRPr="00ED639D">
              <w:rPr>
                <w:b/>
              </w:rPr>
              <w:t>Cardholder Data Environment (CDE)</w:t>
            </w:r>
          </w:p>
        </w:tc>
        <w:tc>
          <w:tcPr>
            <w:tcW w:w="7321" w:type="dxa"/>
          </w:tcPr>
          <w:p w14:paraId="1726D6C5" w14:textId="1AE0AB7C" w:rsidR="00D73F04" w:rsidRDefault="00D73F04" w:rsidP="00A94FE1">
            <w:pPr>
              <w:jc w:val="both"/>
            </w:pPr>
            <w:r>
              <w:t xml:space="preserve">The people, processes and technology that store, process, or transmit payment card data or sensitive authentication </w:t>
            </w:r>
            <w:proofErr w:type="spellStart"/>
            <w:r>
              <w:t>data.</w:t>
            </w:r>
            <w:r>
              <w:fldChar w:fldCharType="begin"/>
            </w:r>
            <w:r>
              <w:instrText xml:space="preserve"> NOTEREF _Ref536601687 \f \h </w:instrText>
            </w:r>
            <w:r w:rsidR="00ED639D">
              <w:instrText xml:space="preserve"> \* MERGEFORMAT </w:instrText>
            </w:r>
            <w:r>
              <w:fldChar w:fldCharType="separate"/>
            </w:r>
            <w:r w:rsidRPr="00036F32">
              <w:rPr>
                <w:rStyle w:val="EndnoteReference"/>
              </w:rPr>
              <w:t>i</w:t>
            </w:r>
            <w:proofErr w:type="spellEnd"/>
            <w:r>
              <w:fldChar w:fldCharType="end"/>
            </w:r>
          </w:p>
        </w:tc>
      </w:tr>
      <w:tr w:rsidR="00D73F04" w14:paraId="47BFB08C" w14:textId="77777777" w:rsidTr="00ED639D">
        <w:trPr>
          <w:trHeight w:val="259"/>
          <w:jc w:val="center"/>
        </w:trPr>
        <w:tc>
          <w:tcPr>
            <w:tcW w:w="2754" w:type="dxa"/>
            <w:shd w:val="clear" w:color="auto" w:fill="auto"/>
          </w:tcPr>
          <w:p w14:paraId="41E12C76" w14:textId="77777777" w:rsidR="00D73F04" w:rsidRPr="00ED639D" w:rsidRDefault="00D73F04" w:rsidP="00A94FE1">
            <w:pPr>
              <w:jc w:val="both"/>
              <w:rPr>
                <w:b/>
              </w:rPr>
            </w:pPr>
            <w:r w:rsidRPr="00ED639D">
              <w:rPr>
                <w:b/>
              </w:rPr>
              <w:t>Chain of Custody</w:t>
            </w:r>
          </w:p>
        </w:tc>
        <w:tc>
          <w:tcPr>
            <w:tcW w:w="7321" w:type="dxa"/>
          </w:tcPr>
          <w:p w14:paraId="76737E42" w14:textId="77777777" w:rsidR="00D73F04" w:rsidRDefault="00D73F04" w:rsidP="00A94FE1">
            <w:pPr>
              <w:jc w:val="both"/>
            </w:pPr>
            <w:r>
              <w:t>The record of sequence of acceptance, control, storage, transfer, processing, and disposal of physical payment card data.</w:t>
            </w:r>
          </w:p>
        </w:tc>
      </w:tr>
      <w:tr w:rsidR="00D73F04" w14:paraId="7E201FBB" w14:textId="77777777" w:rsidTr="00ED639D">
        <w:trPr>
          <w:trHeight w:val="259"/>
          <w:jc w:val="center"/>
        </w:trPr>
        <w:tc>
          <w:tcPr>
            <w:tcW w:w="2754" w:type="dxa"/>
            <w:shd w:val="clear" w:color="auto" w:fill="auto"/>
          </w:tcPr>
          <w:p w14:paraId="1FE4CD64" w14:textId="77777777" w:rsidR="00D73F04" w:rsidRPr="00ED639D" w:rsidRDefault="00D73F04" w:rsidP="00A94FE1">
            <w:pPr>
              <w:jc w:val="both"/>
              <w:rPr>
                <w:b/>
              </w:rPr>
            </w:pPr>
            <w:r w:rsidRPr="00ED639D">
              <w:rPr>
                <w:b/>
              </w:rPr>
              <w:lastRenderedPageBreak/>
              <w:t>Customer</w:t>
            </w:r>
          </w:p>
        </w:tc>
        <w:tc>
          <w:tcPr>
            <w:tcW w:w="7321" w:type="dxa"/>
          </w:tcPr>
          <w:p w14:paraId="27A849B3" w14:textId="77777777" w:rsidR="00D73F04" w:rsidRDefault="00D73F04" w:rsidP="00A94FE1">
            <w:pPr>
              <w:jc w:val="both"/>
            </w:pPr>
            <w:r w:rsidRPr="005611A4">
              <w:t xml:space="preserve">Also referred to as a “student,” “guest” or “cardholder.” </w:t>
            </w:r>
            <w:r>
              <w:t>An individual or organization purchasing goods or services from a merchant.</w:t>
            </w:r>
          </w:p>
        </w:tc>
      </w:tr>
      <w:tr w:rsidR="00D73F04" w14:paraId="5799D3DE" w14:textId="77777777" w:rsidTr="00ED639D">
        <w:trPr>
          <w:trHeight w:val="259"/>
          <w:jc w:val="center"/>
        </w:trPr>
        <w:tc>
          <w:tcPr>
            <w:tcW w:w="2754" w:type="dxa"/>
            <w:shd w:val="clear" w:color="auto" w:fill="auto"/>
          </w:tcPr>
          <w:p w14:paraId="316E429E" w14:textId="77777777" w:rsidR="00D73F04" w:rsidRPr="00ED639D" w:rsidRDefault="00D73F04" w:rsidP="00A94FE1">
            <w:pPr>
              <w:jc w:val="both"/>
              <w:rPr>
                <w:b/>
              </w:rPr>
            </w:pPr>
            <w:r w:rsidRPr="00ED639D">
              <w:rPr>
                <w:b/>
              </w:rPr>
              <w:t>Data Breach</w:t>
            </w:r>
          </w:p>
        </w:tc>
        <w:tc>
          <w:tcPr>
            <w:tcW w:w="7321" w:type="dxa"/>
          </w:tcPr>
          <w:p w14:paraId="6DFE80A3" w14:textId="381F70AA" w:rsidR="00D73F04" w:rsidRDefault="00D73F04" w:rsidP="00A94FE1">
            <w:pPr>
              <w:jc w:val="both"/>
            </w:pPr>
            <w:r>
              <w:t xml:space="preserve">Also referred to as a “data compromise” or “compromise.” Intrusion into a computer system where unauthorized disclosure/theft, modification, or destruction of cardholder data is </w:t>
            </w:r>
            <w:proofErr w:type="spellStart"/>
            <w:r>
              <w:t>suspected.</w:t>
            </w:r>
            <w:r>
              <w:fldChar w:fldCharType="begin"/>
            </w:r>
            <w:r>
              <w:instrText xml:space="preserve"> NOTEREF _Ref536601687 \f \h </w:instrText>
            </w:r>
            <w:r w:rsidR="00ED639D">
              <w:instrText xml:space="preserve"> \* MERGEFORMAT </w:instrText>
            </w:r>
            <w:r>
              <w:fldChar w:fldCharType="separate"/>
            </w:r>
            <w:r w:rsidRPr="00036F32">
              <w:rPr>
                <w:rStyle w:val="EndnoteReference"/>
              </w:rPr>
              <w:t>i</w:t>
            </w:r>
            <w:proofErr w:type="spellEnd"/>
            <w:r>
              <w:fldChar w:fldCharType="end"/>
            </w:r>
          </w:p>
        </w:tc>
      </w:tr>
      <w:tr w:rsidR="00D73F04" w14:paraId="78C17553" w14:textId="77777777" w:rsidTr="00ED639D">
        <w:trPr>
          <w:trHeight w:val="259"/>
          <w:jc w:val="center"/>
        </w:trPr>
        <w:tc>
          <w:tcPr>
            <w:tcW w:w="2754" w:type="dxa"/>
            <w:shd w:val="clear" w:color="auto" w:fill="auto"/>
          </w:tcPr>
          <w:p w14:paraId="4361BFCB" w14:textId="77777777" w:rsidR="00D73F04" w:rsidRPr="00ED639D" w:rsidRDefault="00D73F04" w:rsidP="00A94FE1">
            <w:pPr>
              <w:jc w:val="both"/>
              <w:rPr>
                <w:b/>
              </w:rPr>
            </w:pPr>
            <w:r w:rsidRPr="00ED639D">
              <w:rPr>
                <w:b/>
              </w:rPr>
              <w:t>Declaration Document</w:t>
            </w:r>
          </w:p>
        </w:tc>
        <w:tc>
          <w:tcPr>
            <w:tcW w:w="7321" w:type="dxa"/>
          </w:tcPr>
          <w:p w14:paraId="1807A7EA" w14:textId="77777777" w:rsidR="00D73F04" w:rsidRDefault="00D73F04" w:rsidP="00A94FE1">
            <w:pPr>
              <w:jc w:val="both"/>
            </w:pPr>
            <w:r>
              <w:t>An internal Queen’s document that defines all elements of a payment stream. It can be obtained through the PCI Coordinator.</w:t>
            </w:r>
          </w:p>
        </w:tc>
      </w:tr>
      <w:tr w:rsidR="00D73F04" w14:paraId="0581B8D7" w14:textId="77777777" w:rsidTr="00ED639D">
        <w:trPr>
          <w:trHeight w:val="259"/>
          <w:jc w:val="center"/>
        </w:trPr>
        <w:tc>
          <w:tcPr>
            <w:tcW w:w="2754" w:type="dxa"/>
            <w:shd w:val="clear" w:color="auto" w:fill="auto"/>
          </w:tcPr>
          <w:p w14:paraId="30BEEFA2" w14:textId="77777777" w:rsidR="00D73F04" w:rsidRPr="00ED639D" w:rsidRDefault="00D73F04" w:rsidP="00A94FE1">
            <w:pPr>
              <w:jc w:val="both"/>
              <w:rPr>
                <w:b/>
              </w:rPr>
            </w:pPr>
            <w:proofErr w:type="spellStart"/>
            <w:r w:rsidRPr="00ED639D">
              <w:rPr>
                <w:b/>
              </w:rPr>
              <w:t>Europay</w:t>
            </w:r>
            <w:proofErr w:type="spellEnd"/>
            <w:r w:rsidRPr="00ED639D">
              <w:rPr>
                <w:b/>
              </w:rPr>
              <w:t>, MasterCard and Visa (EMV) Chip cards</w:t>
            </w:r>
          </w:p>
        </w:tc>
        <w:tc>
          <w:tcPr>
            <w:tcW w:w="7321" w:type="dxa"/>
          </w:tcPr>
          <w:p w14:paraId="27FBE4B5" w14:textId="77777777" w:rsidR="00D73F04" w:rsidRDefault="00D73F04" w:rsidP="00A94FE1">
            <w:pPr>
              <w:jc w:val="both"/>
            </w:pPr>
            <w:r>
              <w:t xml:space="preserve">EMV cards are smart cards (also called chip cards or IC cards) which store their data on integrated circuits rather than magnetic stripes, although many EMV cards also have strips for backward compatibility. </w:t>
            </w:r>
          </w:p>
        </w:tc>
      </w:tr>
      <w:tr w:rsidR="00D73F04" w14:paraId="5D0A3767" w14:textId="77777777" w:rsidTr="00ED639D">
        <w:trPr>
          <w:trHeight w:val="259"/>
          <w:jc w:val="center"/>
        </w:trPr>
        <w:tc>
          <w:tcPr>
            <w:tcW w:w="2754" w:type="dxa"/>
            <w:shd w:val="clear" w:color="auto" w:fill="auto"/>
          </w:tcPr>
          <w:p w14:paraId="5C9CD5B6" w14:textId="77777777" w:rsidR="00D73F04" w:rsidRPr="00ED639D" w:rsidRDefault="00D73F04" w:rsidP="00A94FE1">
            <w:pPr>
              <w:jc w:val="both"/>
              <w:rPr>
                <w:b/>
              </w:rPr>
            </w:pPr>
            <w:r w:rsidRPr="00ED639D">
              <w:rPr>
                <w:b/>
              </w:rPr>
              <w:t>Encryption</w:t>
            </w:r>
          </w:p>
        </w:tc>
        <w:tc>
          <w:tcPr>
            <w:tcW w:w="7321" w:type="dxa"/>
          </w:tcPr>
          <w:p w14:paraId="07BF9D82" w14:textId="29320193" w:rsidR="00D73F04" w:rsidRDefault="00D73F04" w:rsidP="00A94FE1">
            <w:pPr>
              <w:jc w:val="both"/>
            </w:pPr>
            <w:r>
              <w:t>Process of converting information into an unintelligible form except to holders of a specific cryptographic key. Use of encryption protects information between the encryption process and the decryption process (the inverse of encryption) against unauthorized disclosure).</w:t>
            </w:r>
            <w:r>
              <w:fldChar w:fldCharType="begin"/>
            </w:r>
            <w:r>
              <w:instrText xml:space="preserve"> NOTEREF _Ref536601687 \f \h </w:instrText>
            </w:r>
            <w:r w:rsidR="00ED639D">
              <w:instrText xml:space="preserve"> \* MERGEFORMAT </w:instrText>
            </w:r>
            <w:r>
              <w:fldChar w:fldCharType="separate"/>
            </w:r>
            <w:r w:rsidRPr="00036F32">
              <w:rPr>
                <w:rStyle w:val="EndnoteReference"/>
              </w:rPr>
              <w:t>i</w:t>
            </w:r>
            <w:r>
              <w:fldChar w:fldCharType="end"/>
            </w:r>
          </w:p>
        </w:tc>
      </w:tr>
      <w:tr w:rsidR="00D73F04" w14:paraId="6F0FB161" w14:textId="77777777" w:rsidTr="00ED639D">
        <w:trPr>
          <w:trHeight w:val="259"/>
          <w:jc w:val="center"/>
        </w:trPr>
        <w:tc>
          <w:tcPr>
            <w:tcW w:w="2754" w:type="dxa"/>
            <w:shd w:val="clear" w:color="auto" w:fill="auto"/>
          </w:tcPr>
          <w:p w14:paraId="6BFC4694" w14:textId="77777777" w:rsidR="00D73F04" w:rsidRPr="00ED639D" w:rsidRDefault="00D73F04" w:rsidP="00A94FE1">
            <w:pPr>
              <w:jc w:val="both"/>
              <w:rPr>
                <w:b/>
              </w:rPr>
            </w:pPr>
            <w:r w:rsidRPr="00ED639D">
              <w:rPr>
                <w:b/>
              </w:rPr>
              <w:t>Firewall</w:t>
            </w:r>
          </w:p>
        </w:tc>
        <w:tc>
          <w:tcPr>
            <w:tcW w:w="7321" w:type="dxa"/>
          </w:tcPr>
          <w:p w14:paraId="482C85A4" w14:textId="77777777" w:rsidR="00D73F04" w:rsidRDefault="00D73F04" w:rsidP="00A94FE1">
            <w:pPr>
              <w:jc w:val="both"/>
            </w:pPr>
            <w:r>
              <w:t>Hardware and/or software technology that protects network resources from unauthorized access. A firewall permits or denies computer traffic between networks with different security levels based upon a set of rules and other criteria.</w:t>
            </w:r>
          </w:p>
        </w:tc>
      </w:tr>
      <w:tr w:rsidR="00554699" w14:paraId="77690728" w14:textId="77777777" w:rsidTr="00ED639D">
        <w:trPr>
          <w:trHeight w:val="259"/>
          <w:jc w:val="center"/>
        </w:trPr>
        <w:tc>
          <w:tcPr>
            <w:tcW w:w="2754" w:type="dxa"/>
            <w:shd w:val="clear" w:color="auto" w:fill="auto"/>
          </w:tcPr>
          <w:p w14:paraId="1C6F0906" w14:textId="68F62288" w:rsidR="00554699" w:rsidRPr="00ED639D" w:rsidRDefault="00554699" w:rsidP="00A94FE1">
            <w:pPr>
              <w:rPr>
                <w:b/>
              </w:rPr>
            </w:pPr>
            <w:r>
              <w:rPr>
                <w:b/>
              </w:rPr>
              <w:t>Information Security Officer (ISO)</w:t>
            </w:r>
          </w:p>
        </w:tc>
        <w:tc>
          <w:tcPr>
            <w:tcW w:w="7321" w:type="dxa"/>
          </w:tcPr>
          <w:p w14:paraId="6AB9DD3B" w14:textId="209EFB88" w:rsidR="00554699" w:rsidRDefault="00050C6F" w:rsidP="00A94FE1">
            <w:pPr>
              <w:jc w:val="both"/>
            </w:pPr>
            <w:r w:rsidRPr="00050C6F">
              <w:t>An internal Queen’s staff member who operates the University’s Cybersecurity Program and ensures compliance with the University’s information security polic</w:t>
            </w:r>
            <w:r>
              <w:t>ies and regulatory environment.</w:t>
            </w:r>
          </w:p>
        </w:tc>
      </w:tr>
      <w:tr w:rsidR="00554699" w14:paraId="0692086A" w14:textId="77777777" w:rsidTr="00ED639D">
        <w:trPr>
          <w:trHeight w:val="259"/>
          <w:jc w:val="center"/>
        </w:trPr>
        <w:tc>
          <w:tcPr>
            <w:tcW w:w="2754" w:type="dxa"/>
            <w:shd w:val="clear" w:color="auto" w:fill="auto"/>
          </w:tcPr>
          <w:p w14:paraId="4814B70C" w14:textId="77777777" w:rsidR="00554699" w:rsidRPr="00ED639D" w:rsidRDefault="00554699" w:rsidP="00A94FE1">
            <w:pPr>
              <w:rPr>
                <w:b/>
              </w:rPr>
            </w:pPr>
            <w:r w:rsidRPr="00ED639D">
              <w:rPr>
                <w:b/>
              </w:rPr>
              <w:t>Information Technology Services (ITS)</w:t>
            </w:r>
          </w:p>
        </w:tc>
        <w:tc>
          <w:tcPr>
            <w:tcW w:w="7321" w:type="dxa"/>
          </w:tcPr>
          <w:p w14:paraId="5DBF14E9" w14:textId="77777777" w:rsidR="00554699" w:rsidRDefault="00554699" w:rsidP="00A94FE1">
            <w:pPr>
              <w:jc w:val="both"/>
            </w:pPr>
            <w:r>
              <w:t>An internal Queen’s department that oversees the operation, servicing, and implementation of enterprise technology at the University.</w:t>
            </w:r>
          </w:p>
        </w:tc>
      </w:tr>
      <w:tr w:rsidR="00554699" w14:paraId="588FF5D1" w14:textId="77777777" w:rsidTr="00ED639D">
        <w:trPr>
          <w:trHeight w:val="259"/>
          <w:jc w:val="center"/>
        </w:trPr>
        <w:tc>
          <w:tcPr>
            <w:tcW w:w="2754" w:type="dxa"/>
            <w:shd w:val="clear" w:color="auto" w:fill="auto"/>
          </w:tcPr>
          <w:p w14:paraId="2B596EDA" w14:textId="77777777" w:rsidR="00554699" w:rsidRPr="00ED639D" w:rsidRDefault="00554699" w:rsidP="00A94FE1">
            <w:pPr>
              <w:rPr>
                <w:b/>
              </w:rPr>
            </w:pPr>
            <w:r w:rsidRPr="00ED639D">
              <w:rPr>
                <w:b/>
              </w:rPr>
              <w:t>Issuer</w:t>
            </w:r>
          </w:p>
        </w:tc>
        <w:tc>
          <w:tcPr>
            <w:tcW w:w="7321" w:type="dxa"/>
          </w:tcPr>
          <w:p w14:paraId="20FE5858" w14:textId="7E7339BE" w:rsidR="00554699" w:rsidRDefault="00554699" w:rsidP="00A94FE1">
            <w:pPr>
              <w:jc w:val="both"/>
            </w:pPr>
            <w:r w:rsidRPr="00A06748">
              <w:t xml:space="preserve">Entity that issues payment cards or performs, facilitates, or supports issuing services including but not limited to issuing banks and issuing processors. Also referred to as “issuing bank” or “issuing financial </w:t>
            </w:r>
            <w:proofErr w:type="spellStart"/>
            <w:r w:rsidRPr="00A06748">
              <w:t>institution.”</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3451DC34" w14:textId="77777777" w:rsidTr="00ED639D">
        <w:trPr>
          <w:trHeight w:val="259"/>
          <w:jc w:val="center"/>
        </w:trPr>
        <w:tc>
          <w:tcPr>
            <w:tcW w:w="2754" w:type="dxa"/>
            <w:shd w:val="clear" w:color="auto" w:fill="auto"/>
          </w:tcPr>
          <w:p w14:paraId="25D64891" w14:textId="77777777" w:rsidR="00554699" w:rsidRPr="00ED639D" w:rsidRDefault="00554699" w:rsidP="00A94FE1">
            <w:pPr>
              <w:rPr>
                <w:b/>
              </w:rPr>
            </w:pPr>
            <w:r w:rsidRPr="00ED639D">
              <w:rPr>
                <w:b/>
              </w:rPr>
              <w:t>Mail Order/Telephone Order (MOTO)</w:t>
            </w:r>
          </w:p>
        </w:tc>
        <w:tc>
          <w:tcPr>
            <w:tcW w:w="7321" w:type="dxa"/>
          </w:tcPr>
          <w:p w14:paraId="28AA9CE6" w14:textId="257B29F5" w:rsidR="00554699" w:rsidRDefault="00554699" w:rsidP="00A94FE1">
            <w:pPr>
              <w:jc w:val="both"/>
            </w:pPr>
            <w:r>
              <w:t xml:space="preserve">Method for accepting payment cards that are either mailed or provider over the </w:t>
            </w:r>
            <w:proofErr w:type="spellStart"/>
            <w:r>
              <w:t>telephone.</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4AEE4CBF" w14:textId="77777777" w:rsidTr="00ED639D">
        <w:trPr>
          <w:trHeight w:val="259"/>
          <w:jc w:val="center"/>
        </w:trPr>
        <w:tc>
          <w:tcPr>
            <w:tcW w:w="2754" w:type="dxa"/>
            <w:shd w:val="clear" w:color="auto" w:fill="auto"/>
          </w:tcPr>
          <w:p w14:paraId="437976A8" w14:textId="77777777" w:rsidR="00554699" w:rsidRPr="00ED639D" w:rsidRDefault="00554699" w:rsidP="00A94FE1">
            <w:pPr>
              <w:jc w:val="both"/>
              <w:rPr>
                <w:b/>
              </w:rPr>
            </w:pPr>
            <w:r w:rsidRPr="00ED639D">
              <w:rPr>
                <w:b/>
              </w:rPr>
              <w:t>Masking</w:t>
            </w:r>
          </w:p>
        </w:tc>
        <w:tc>
          <w:tcPr>
            <w:tcW w:w="7321" w:type="dxa"/>
          </w:tcPr>
          <w:p w14:paraId="25C9D49D" w14:textId="01056045" w:rsidR="00554699" w:rsidRDefault="00554699" w:rsidP="00A94FE1">
            <w:pPr>
              <w:jc w:val="both"/>
            </w:pPr>
            <w:r>
              <w:t xml:space="preserve">In the context of the Payment Card Industry Data Security Standard, it is a method of concealing a segment of data when displayed or printed. Masking is used when there is no business requirement to view the entire primary account number. Masking relates to protection of the primary account number when displayed or </w:t>
            </w:r>
            <w:proofErr w:type="spellStart"/>
            <w:r>
              <w:t>printed.</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0A4752B0" w14:textId="77777777" w:rsidTr="00ED639D">
        <w:trPr>
          <w:trHeight w:val="259"/>
          <w:jc w:val="center"/>
        </w:trPr>
        <w:tc>
          <w:tcPr>
            <w:tcW w:w="2754" w:type="dxa"/>
            <w:shd w:val="clear" w:color="auto" w:fill="auto"/>
          </w:tcPr>
          <w:p w14:paraId="330320B1" w14:textId="77777777" w:rsidR="00554699" w:rsidRPr="00ED639D" w:rsidRDefault="00554699" w:rsidP="00A94FE1">
            <w:pPr>
              <w:jc w:val="both"/>
              <w:rPr>
                <w:b/>
              </w:rPr>
            </w:pPr>
            <w:r w:rsidRPr="00ED639D">
              <w:rPr>
                <w:b/>
              </w:rPr>
              <w:lastRenderedPageBreak/>
              <w:t>Merchant</w:t>
            </w:r>
          </w:p>
        </w:tc>
        <w:tc>
          <w:tcPr>
            <w:tcW w:w="7321" w:type="dxa"/>
          </w:tcPr>
          <w:p w14:paraId="1A09EFF5" w14:textId="464AD663" w:rsidR="00554699" w:rsidRDefault="00554699" w:rsidP="00A94FE1">
            <w:pPr>
              <w:jc w:val="both"/>
            </w:pPr>
            <w:r>
              <w:t xml:space="preserve">For the purposes of the Payment Card Industry Data Security Standard, a merchant is defined as any entity that accepts payment cards bearing logos of any of the five members of the Payment Card Industry Security Standard Council (American Express, Discover Financial Services, JCB International, MasterCard Worldwide, or VISA, Inc.) as payment for goods and/or services. Note that a merchant that accepts payment cards as payment for goods and/or services can also be a service provider, if the services sold result in storing, processing, or transmitting payment card data on behalf of other merchants or service </w:t>
            </w:r>
            <w:proofErr w:type="spellStart"/>
            <w:r>
              <w:t>providers.</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47573063" w14:textId="77777777" w:rsidTr="00ED639D">
        <w:trPr>
          <w:trHeight w:val="259"/>
          <w:jc w:val="center"/>
        </w:trPr>
        <w:tc>
          <w:tcPr>
            <w:tcW w:w="2754" w:type="dxa"/>
            <w:shd w:val="clear" w:color="auto" w:fill="auto"/>
          </w:tcPr>
          <w:p w14:paraId="6D3BE4C1" w14:textId="77777777" w:rsidR="00554699" w:rsidRPr="00ED639D" w:rsidRDefault="00554699" w:rsidP="00A94FE1">
            <w:pPr>
              <w:rPr>
                <w:b/>
              </w:rPr>
            </w:pPr>
            <w:r w:rsidRPr="00ED639D">
              <w:rPr>
                <w:b/>
              </w:rPr>
              <w:t>National Institute of Standards and Technology (NIST)</w:t>
            </w:r>
          </w:p>
        </w:tc>
        <w:tc>
          <w:tcPr>
            <w:tcW w:w="7321" w:type="dxa"/>
          </w:tcPr>
          <w:p w14:paraId="2DC3B082" w14:textId="77777777" w:rsidR="00554699" w:rsidRDefault="00554699" w:rsidP="00A94FE1">
            <w:pPr>
              <w:jc w:val="both"/>
            </w:pPr>
            <w:r>
              <w:t>An American non-regulatory agency that provides a policy framework for security guidance.</w:t>
            </w:r>
          </w:p>
        </w:tc>
      </w:tr>
      <w:tr w:rsidR="00554699" w14:paraId="1393650C" w14:textId="77777777" w:rsidTr="00ED639D">
        <w:trPr>
          <w:trHeight w:val="259"/>
          <w:jc w:val="center"/>
        </w:trPr>
        <w:tc>
          <w:tcPr>
            <w:tcW w:w="2754" w:type="dxa"/>
            <w:shd w:val="clear" w:color="auto" w:fill="auto"/>
          </w:tcPr>
          <w:p w14:paraId="76E8128A" w14:textId="77777777" w:rsidR="00554699" w:rsidRPr="00ED639D" w:rsidRDefault="00554699" w:rsidP="00A94FE1">
            <w:pPr>
              <w:rPr>
                <w:b/>
              </w:rPr>
            </w:pPr>
            <w:r w:rsidRPr="00ED639D">
              <w:rPr>
                <w:b/>
              </w:rPr>
              <w:t>Payment Application</w:t>
            </w:r>
          </w:p>
        </w:tc>
        <w:tc>
          <w:tcPr>
            <w:tcW w:w="7321" w:type="dxa"/>
          </w:tcPr>
          <w:p w14:paraId="401C2A66" w14:textId="400F6AF5" w:rsidR="00554699" w:rsidRDefault="00554699" w:rsidP="00A94FE1">
            <w:pPr>
              <w:jc w:val="both"/>
            </w:pPr>
            <w:r>
              <w:t>A</w:t>
            </w:r>
            <w:r w:rsidRPr="00CE1C7D">
              <w:t xml:space="preserve"> software application that stores, processes, or transmits cardholder data as part of authorization or settlement, where the payment application is sold, distributed, or licensed to third parties.</w:t>
            </w:r>
            <w:r w:rsidRPr="00CE1C7D" w:rsidDel="00CE1C7D">
              <w:t xml:space="preserve"> </w:t>
            </w:r>
            <w:r>
              <w:t>Hardware is only included as part of the payment application if it is intertwined with the software (ex. part of a payment card swipe terminal).</w:t>
            </w:r>
            <w:r>
              <w:fldChar w:fldCharType="begin"/>
            </w:r>
            <w:r>
              <w:instrText xml:space="preserve"> NOTEREF _Ref536601687 \f \h  \* MERGEFORMAT </w:instrText>
            </w:r>
            <w:r>
              <w:fldChar w:fldCharType="separate"/>
            </w:r>
            <w:r w:rsidRPr="00036F32">
              <w:rPr>
                <w:rStyle w:val="EndnoteReference"/>
              </w:rPr>
              <w:t>i</w:t>
            </w:r>
            <w:r>
              <w:fldChar w:fldCharType="end"/>
            </w:r>
          </w:p>
        </w:tc>
      </w:tr>
      <w:tr w:rsidR="00554699" w14:paraId="4A38BC7A" w14:textId="77777777" w:rsidTr="00ED639D">
        <w:trPr>
          <w:trHeight w:val="259"/>
          <w:jc w:val="center"/>
        </w:trPr>
        <w:tc>
          <w:tcPr>
            <w:tcW w:w="2754" w:type="dxa"/>
            <w:shd w:val="clear" w:color="auto" w:fill="auto"/>
          </w:tcPr>
          <w:p w14:paraId="1898369B" w14:textId="77777777" w:rsidR="00554699" w:rsidRPr="00ED639D" w:rsidRDefault="00554699" w:rsidP="00A94FE1">
            <w:pPr>
              <w:rPr>
                <w:b/>
              </w:rPr>
            </w:pPr>
            <w:r w:rsidRPr="00ED639D">
              <w:rPr>
                <w:b/>
              </w:rPr>
              <w:t>Payment Application Data Security Standard (PA DSS)</w:t>
            </w:r>
          </w:p>
        </w:tc>
        <w:tc>
          <w:tcPr>
            <w:tcW w:w="7321" w:type="dxa"/>
          </w:tcPr>
          <w:p w14:paraId="2273A975" w14:textId="2A8719E3" w:rsidR="00554699" w:rsidRDefault="00554699" w:rsidP="00A94FE1">
            <w:pPr>
              <w:jc w:val="both"/>
            </w:pPr>
            <w:r w:rsidRPr="00D9672D">
              <w:t xml:space="preserve">The </w:t>
            </w:r>
            <w:r>
              <w:t>PA DSS</w:t>
            </w:r>
            <w:r w:rsidRPr="00D9672D">
              <w:t xml:space="preserve"> is for software vendors and others who develop payment applications that store, process or transmit </w:t>
            </w:r>
            <w:r>
              <w:t>payment card data</w:t>
            </w:r>
            <w:r w:rsidRPr="00D9672D">
              <w:t xml:space="preserve"> and/or sensitive authentication data, for example as part of authorization or settlement when these applications are sold, distributed or licensed to third </w:t>
            </w:r>
            <w:proofErr w:type="spellStart"/>
            <w:r w:rsidRPr="00D9672D">
              <w:t>parties.</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345472EB" w14:textId="77777777" w:rsidTr="00ED639D">
        <w:trPr>
          <w:trHeight w:val="259"/>
          <w:jc w:val="center"/>
        </w:trPr>
        <w:tc>
          <w:tcPr>
            <w:tcW w:w="2754" w:type="dxa"/>
            <w:shd w:val="clear" w:color="auto" w:fill="auto"/>
          </w:tcPr>
          <w:p w14:paraId="7DA37F64" w14:textId="77777777" w:rsidR="00554699" w:rsidRPr="00ED639D" w:rsidRDefault="00554699" w:rsidP="00A94FE1">
            <w:pPr>
              <w:rPr>
                <w:b/>
              </w:rPr>
            </w:pPr>
            <w:r w:rsidRPr="00ED639D">
              <w:rPr>
                <w:b/>
              </w:rPr>
              <w:t>Payment Card</w:t>
            </w:r>
          </w:p>
        </w:tc>
        <w:tc>
          <w:tcPr>
            <w:tcW w:w="7321" w:type="dxa"/>
          </w:tcPr>
          <w:p w14:paraId="045B0ED3" w14:textId="1BF8EDFD" w:rsidR="00554699" w:rsidRDefault="00554699" w:rsidP="00A94FE1">
            <w:pPr>
              <w:jc w:val="both"/>
            </w:pPr>
            <w:r>
              <w:rPr>
                <w:b/>
                <w:i/>
              </w:rPr>
              <w:t>A</w:t>
            </w:r>
            <w:r w:rsidRPr="00C27B56">
              <w:t xml:space="preserve">ny payment card/device that bears the logo of the founding members of </w:t>
            </w:r>
            <w:r w:rsidRPr="005611A4">
              <w:t>Payment Card Industry Security Standards Council</w:t>
            </w:r>
            <w:r>
              <w:rPr>
                <w:b/>
                <w:i/>
              </w:rPr>
              <w:t>,</w:t>
            </w:r>
            <w:r w:rsidRPr="00C27B56">
              <w:t xml:space="preserve"> which are American Express, Discover Financial Services, JCB International, MasterCard, or Visa, </w:t>
            </w:r>
            <w:proofErr w:type="spellStart"/>
            <w:r w:rsidRPr="00C27B56">
              <w:t>Inc.</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074D2972" w14:textId="77777777" w:rsidTr="00ED639D">
        <w:trPr>
          <w:trHeight w:val="259"/>
          <w:jc w:val="center"/>
        </w:trPr>
        <w:tc>
          <w:tcPr>
            <w:tcW w:w="2754" w:type="dxa"/>
            <w:shd w:val="clear" w:color="auto" w:fill="auto"/>
          </w:tcPr>
          <w:p w14:paraId="26C9790A" w14:textId="77777777" w:rsidR="00554699" w:rsidRPr="00ED639D" w:rsidRDefault="00554699" w:rsidP="00A94FE1">
            <w:pPr>
              <w:rPr>
                <w:b/>
              </w:rPr>
            </w:pPr>
            <w:r w:rsidRPr="00ED639D">
              <w:rPr>
                <w:b/>
              </w:rPr>
              <w:t>Payment Card Brand</w:t>
            </w:r>
          </w:p>
        </w:tc>
        <w:tc>
          <w:tcPr>
            <w:tcW w:w="7321" w:type="dxa"/>
          </w:tcPr>
          <w:p w14:paraId="1A353C0B" w14:textId="77777777" w:rsidR="00554699" w:rsidRDefault="00554699" w:rsidP="00A94FE1">
            <w:pPr>
              <w:jc w:val="both"/>
            </w:pPr>
            <w:r>
              <w:t>The respective financial entities (American Express, Discover Financial Services, JCB International, MasterCard Worldwide, or VISA, Inc.) responsible for advancing and promoting the Payment Card Industry Data Security Standard.</w:t>
            </w:r>
          </w:p>
        </w:tc>
      </w:tr>
      <w:tr w:rsidR="00554699" w14:paraId="43502C0A" w14:textId="77777777" w:rsidTr="00ED639D">
        <w:trPr>
          <w:trHeight w:val="259"/>
          <w:jc w:val="center"/>
        </w:trPr>
        <w:tc>
          <w:tcPr>
            <w:tcW w:w="2754" w:type="dxa"/>
            <w:shd w:val="clear" w:color="auto" w:fill="auto"/>
          </w:tcPr>
          <w:p w14:paraId="363BBDC7" w14:textId="77777777" w:rsidR="00554699" w:rsidRPr="00ED639D" w:rsidRDefault="00554699" w:rsidP="00A94FE1">
            <w:pPr>
              <w:rPr>
                <w:b/>
              </w:rPr>
            </w:pPr>
            <w:r w:rsidRPr="00ED639D">
              <w:rPr>
                <w:b/>
              </w:rPr>
              <w:t>Payment Card Data</w:t>
            </w:r>
          </w:p>
          <w:p w14:paraId="2CEC3A16" w14:textId="77777777" w:rsidR="00554699" w:rsidRPr="00ED639D" w:rsidRDefault="00554699" w:rsidP="00A94FE1">
            <w:pPr>
              <w:rPr>
                <w:b/>
              </w:rPr>
            </w:pPr>
          </w:p>
        </w:tc>
        <w:tc>
          <w:tcPr>
            <w:tcW w:w="7321" w:type="dxa"/>
          </w:tcPr>
          <w:p w14:paraId="7D7D19B5" w14:textId="37CEB231" w:rsidR="00554699" w:rsidRDefault="00554699" w:rsidP="00A94FE1">
            <w:pPr>
              <w:jc w:val="both"/>
            </w:pPr>
            <w:r>
              <w:t>At a minimum, payment card data (also known as cardholder data “CHD”) consists of a primary account number (PAN). Payment card data may also appear in the form of the PAN plus any of the following: cardholder name, expiration date, security code, and/or the card verification value (also known as CVD, CVN, CVV, CVV2, CVC).</w:t>
            </w:r>
            <w:r>
              <w:fldChar w:fldCharType="begin"/>
            </w:r>
            <w:r>
              <w:instrText xml:space="preserve"> NOTEREF _Ref536601687 \f \h  \* MERGEFORMAT </w:instrText>
            </w:r>
            <w:r>
              <w:fldChar w:fldCharType="separate"/>
            </w:r>
            <w:r w:rsidRPr="00036F32">
              <w:rPr>
                <w:rStyle w:val="EndnoteReference"/>
              </w:rPr>
              <w:t>i</w:t>
            </w:r>
            <w:r>
              <w:fldChar w:fldCharType="end"/>
            </w:r>
          </w:p>
        </w:tc>
      </w:tr>
      <w:tr w:rsidR="00554699" w14:paraId="69936467" w14:textId="77777777" w:rsidTr="00ED639D">
        <w:trPr>
          <w:trHeight w:val="259"/>
          <w:jc w:val="center"/>
        </w:trPr>
        <w:tc>
          <w:tcPr>
            <w:tcW w:w="2754" w:type="dxa"/>
            <w:shd w:val="clear" w:color="auto" w:fill="auto"/>
          </w:tcPr>
          <w:p w14:paraId="75B65C10" w14:textId="77777777" w:rsidR="00554699" w:rsidRPr="00ED639D" w:rsidRDefault="00554699" w:rsidP="00A94FE1">
            <w:pPr>
              <w:rPr>
                <w:b/>
              </w:rPr>
            </w:pPr>
            <w:r w:rsidRPr="00ED639D">
              <w:rPr>
                <w:b/>
              </w:rPr>
              <w:t>Payment Gateway</w:t>
            </w:r>
          </w:p>
        </w:tc>
        <w:tc>
          <w:tcPr>
            <w:tcW w:w="7321" w:type="dxa"/>
          </w:tcPr>
          <w:p w14:paraId="6FF6C93F" w14:textId="77777777" w:rsidR="00554699" w:rsidRDefault="00554699" w:rsidP="00A94FE1">
            <w:pPr>
              <w:jc w:val="both"/>
            </w:pPr>
            <w:r>
              <w:t xml:space="preserve">A </w:t>
            </w:r>
            <w:r w:rsidRPr="00F04230">
              <w:t>merchant service provided by a</w:t>
            </w:r>
            <w:r>
              <w:t>n acquirer or payment processor</w:t>
            </w:r>
            <w:r w:rsidRPr="00F04230">
              <w:t xml:space="preserve"> that authorizes credit </w:t>
            </w:r>
            <w:r>
              <w:t>or debit card payment</w:t>
            </w:r>
            <w:r w:rsidRPr="00F04230">
              <w:t xml:space="preserve"> processing for e-</w:t>
            </w:r>
            <w:r>
              <w:t>commerce and online retailers</w:t>
            </w:r>
            <w:r w:rsidRPr="00F04230">
              <w:t>.</w:t>
            </w:r>
          </w:p>
        </w:tc>
      </w:tr>
      <w:tr w:rsidR="00554699" w14:paraId="6731FC16" w14:textId="77777777" w:rsidTr="00ED639D">
        <w:trPr>
          <w:trHeight w:val="259"/>
          <w:jc w:val="center"/>
        </w:trPr>
        <w:tc>
          <w:tcPr>
            <w:tcW w:w="2754" w:type="dxa"/>
            <w:shd w:val="clear" w:color="auto" w:fill="auto"/>
          </w:tcPr>
          <w:p w14:paraId="567FC09F" w14:textId="77777777" w:rsidR="00554699" w:rsidRPr="00ED639D" w:rsidRDefault="00554699" w:rsidP="00A94FE1">
            <w:pPr>
              <w:rPr>
                <w:b/>
              </w:rPr>
            </w:pPr>
            <w:r w:rsidRPr="00ED639D">
              <w:rPr>
                <w:b/>
              </w:rPr>
              <w:lastRenderedPageBreak/>
              <w:t>Payment Processor</w:t>
            </w:r>
          </w:p>
        </w:tc>
        <w:tc>
          <w:tcPr>
            <w:tcW w:w="7321" w:type="dxa"/>
          </w:tcPr>
          <w:p w14:paraId="7E0D819A" w14:textId="0F96CCE2" w:rsidR="00554699" w:rsidRDefault="00554699" w:rsidP="00A94FE1">
            <w:pPr>
              <w:jc w:val="both"/>
            </w:pPr>
            <w:r>
              <w:t xml:space="preserve">Entity engaged by a merchant or other entity to handle payment card transactions on their behalf. While payment processors typically provide acquiring services, payment processors are not considered acquirers unless defined as such by a payment card </w:t>
            </w:r>
            <w:proofErr w:type="spellStart"/>
            <w:r>
              <w:t>brand.</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38AAC8D6" w14:textId="77777777" w:rsidTr="00ED639D">
        <w:trPr>
          <w:trHeight w:val="259"/>
          <w:jc w:val="center"/>
        </w:trPr>
        <w:tc>
          <w:tcPr>
            <w:tcW w:w="2754" w:type="dxa"/>
            <w:shd w:val="clear" w:color="auto" w:fill="auto"/>
          </w:tcPr>
          <w:p w14:paraId="03A0BDAD" w14:textId="77777777" w:rsidR="00554699" w:rsidRPr="00ED639D" w:rsidRDefault="00554699" w:rsidP="00A94FE1">
            <w:pPr>
              <w:rPr>
                <w:b/>
              </w:rPr>
            </w:pPr>
            <w:r w:rsidRPr="00ED639D">
              <w:rPr>
                <w:b/>
              </w:rPr>
              <w:t>Payment Stream</w:t>
            </w:r>
          </w:p>
        </w:tc>
        <w:tc>
          <w:tcPr>
            <w:tcW w:w="7321" w:type="dxa"/>
          </w:tcPr>
          <w:p w14:paraId="4899359E" w14:textId="77777777" w:rsidR="00554699" w:rsidRDefault="00554699" w:rsidP="00A94FE1">
            <w:pPr>
              <w:jc w:val="both"/>
            </w:pPr>
            <w:r>
              <w:t>Encompasses the entire process for accepting payment cards in a merchant retail location (including stores/shops and e-commerce storefronts) and may include a payment terminal, an electronic cash register, other devices or systems connected to the payment terminal (for example, Wi-Fi for connectivity or a PC used for inventory), services with e-commerce components such as payment pages, and the connections out to a merchant bank.</w:t>
            </w:r>
          </w:p>
        </w:tc>
      </w:tr>
      <w:tr w:rsidR="00554699" w14:paraId="5E9C4E6A" w14:textId="77777777" w:rsidTr="00ED639D">
        <w:trPr>
          <w:trHeight w:val="259"/>
          <w:jc w:val="center"/>
        </w:trPr>
        <w:tc>
          <w:tcPr>
            <w:tcW w:w="2754" w:type="dxa"/>
            <w:shd w:val="clear" w:color="auto" w:fill="auto"/>
          </w:tcPr>
          <w:p w14:paraId="0AE79CCD" w14:textId="77777777" w:rsidR="00554699" w:rsidRPr="00ED639D" w:rsidRDefault="00554699" w:rsidP="00A94FE1">
            <w:pPr>
              <w:rPr>
                <w:b/>
              </w:rPr>
            </w:pPr>
            <w:r w:rsidRPr="00ED639D">
              <w:rPr>
                <w:b/>
              </w:rPr>
              <w:t>Payment Card Industry Data Security Standard (PCI DSS)</w:t>
            </w:r>
          </w:p>
        </w:tc>
        <w:tc>
          <w:tcPr>
            <w:tcW w:w="7321" w:type="dxa"/>
          </w:tcPr>
          <w:p w14:paraId="72771CE4" w14:textId="273EADBB" w:rsidR="00554699" w:rsidRDefault="00554699" w:rsidP="00A94FE1">
            <w:pPr>
              <w:jc w:val="both"/>
            </w:pPr>
            <w:r w:rsidRPr="00EF6660">
              <w:t xml:space="preserve">These standards cover technical and operational system components included in or connected to </w:t>
            </w:r>
            <w:r>
              <w:t>payment card data</w:t>
            </w:r>
            <w:r w:rsidRPr="00EF6660">
              <w:t>.</w:t>
            </w:r>
            <w:r>
              <w:t xml:space="preserve"> </w:t>
            </w:r>
            <w:r w:rsidRPr="00B76B2B">
              <w:t xml:space="preserve">If you accept or process payment cards, the PCI </w:t>
            </w:r>
            <w:r>
              <w:t xml:space="preserve">DSS apply to </w:t>
            </w:r>
            <w:proofErr w:type="spellStart"/>
            <w:r>
              <w:t>you.</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7389276F" w14:textId="77777777" w:rsidTr="00ED639D">
        <w:trPr>
          <w:trHeight w:val="259"/>
          <w:jc w:val="center"/>
        </w:trPr>
        <w:tc>
          <w:tcPr>
            <w:tcW w:w="2754" w:type="dxa"/>
            <w:shd w:val="clear" w:color="auto" w:fill="auto"/>
          </w:tcPr>
          <w:p w14:paraId="2D790E74" w14:textId="77777777" w:rsidR="00554699" w:rsidRPr="00ED639D" w:rsidRDefault="00554699" w:rsidP="00A94FE1">
            <w:pPr>
              <w:rPr>
                <w:b/>
              </w:rPr>
            </w:pPr>
            <w:r w:rsidRPr="00ED639D">
              <w:rPr>
                <w:b/>
              </w:rPr>
              <w:t>Payment Card Industry PIN Transaction Security (PCI PTS)</w:t>
            </w:r>
          </w:p>
        </w:tc>
        <w:tc>
          <w:tcPr>
            <w:tcW w:w="7321" w:type="dxa"/>
          </w:tcPr>
          <w:p w14:paraId="182C38BB" w14:textId="2A9B982E" w:rsidR="00554699" w:rsidRDefault="00554699" w:rsidP="00A94FE1">
            <w:pPr>
              <w:jc w:val="both"/>
            </w:pPr>
            <w:r w:rsidRPr="009F7EFA">
              <w:t>PTS is a set of modular evaluation requirements managed by PCI Security Standards</w:t>
            </w:r>
            <w:r>
              <w:t xml:space="preserve"> Council, for personal identification number (PIN) acceptance point of interaction (POI) </w:t>
            </w:r>
            <w:proofErr w:type="spellStart"/>
            <w:r w:rsidRPr="009F7EFA">
              <w:t>terminals.</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3CA3B657" w14:textId="77777777" w:rsidTr="00ED639D">
        <w:trPr>
          <w:trHeight w:val="259"/>
          <w:jc w:val="center"/>
        </w:trPr>
        <w:tc>
          <w:tcPr>
            <w:tcW w:w="2754" w:type="dxa"/>
            <w:shd w:val="clear" w:color="auto" w:fill="auto"/>
          </w:tcPr>
          <w:p w14:paraId="6FBAD4CB" w14:textId="77777777" w:rsidR="00554699" w:rsidRPr="00ED639D" w:rsidRDefault="00554699" w:rsidP="00A94FE1">
            <w:pPr>
              <w:rPr>
                <w:b/>
              </w:rPr>
            </w:pPr>
            <w:r w:rsidRPr="00ED639D">
              <w:rPr>
                <w:b/>
              </w:rPr>
              <w:t>Payment Card Industry Security Standards Council (PCI SSC)</w:t>
            </w:r>
          </w:p>
        </w:tc>
        <w:tc>
          <w:tcPr>
            <w:tcW w:w="7321" w:type="dxa"/>
          </w:tcPr>
          <w:p w14:paraId="6D82592B" w14:textId="2E29EDDC" w:rsidR="00554699" w:rsidRDefault="00554699" w:rsidP="00A94FE1">
            <w:pPr>
              <w:jc w:val="both"/>
            </w:pPr>
            <w:r>
              <w:t>I</w:t>
            </w:r>
            <w:r w:rsidRPr="00B76B2B">
              <w:t xml:space="preserve">t is the governing organization and open forum responsible for the development, management, education, and awareness of PCI Security </w:t>
            </w:r>
            <w:proofErr w:type="spellStart"/>
            <w:r w:rsidRPr="00B76B2B">
              <w:t>Standards</w:t>
            </w:r>
            <w:r>
              <w:t>.</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554F7327" w14:textId="77777777" w:rsidTr="00ED639D">
        <w:trPr>
          <w:trHeight w:val="259"/>
          <w:jc w:val="center"/>
        </w:trPr>
        <w:tc>
          <w:tcPr>
            <w:tcW w:w="2754" w:type="dxa"/>
            <w:shd w:val="clear" w:color="auto" w:fill="auto"/>
          </w:tcPr>
          <w:p w14:paraId="6F96FAD9" w14:textId="77777777" w:rsidR="00554699" w:rsidRPr="00ED639D" w:rsidRDefault="00554699" w:rsidP="00A94FE1">
            <w:pPr>
              <w:rPr>
                <w:b/>
              </w:rPr>
            </w:pPr>
            <w:r w:rsidRPr="00ED639D">
              <w:rPr>
                <w:b/>
              </w:rPr>
              <w:t>PCI Software Security Framework</w:t>
            </w:r>
          </w:p>
        </w:tc>
        <w:tc>
          <w:tcPr>
            <w:tcW w:w="7321" w:type="dxa"/>
          </w:tcPr>
          <w:p w14:paraId="0E224F78" w14:textId="1996DFE6" w:rsidR="00554699" w:rsidRDefault="00554699" w:rsidP="00A94FE1">
            <w:pPr>
              <w:jc w:val="both"/>
            </w:pPr>
            <w:r>
              <w:t>T</w:t>
            </w:r>
            <w:r w:rsidRPr="00F9378B">
              <w:t xml:space="preserve">he framework is a collection of software security standards and associated validation and listing programs for the secure design, </w:t>
            </w:r>
            <w:proofErr w:type="gramStart"/>
            <w:r w:rsidRPr="00F9378B">
              <w:t>development</w:t>
            </w:r>
            <w:proofErr w:type="gramEnd"/>
            <w:r w:rsidRPr="00F9378B">
              <w:t xml:space="preserve"> and maintenance of modern payment software.</w:t>
            </w:r>
            <w:r>
              <w:t xml:space="preserve"> It is composed of the PCI Secure Software Standard and the PCI Secure Software </w:t>
            </w:r>
            <w:proofErr w:type="spellStart"/>
            <w:r>
              <w:t>Lifecycle.</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2225A42F" w14:textId="77777777" w:rsidTr="00ED639D">
        <w:trPr>
          <w:trHeight w:val="259"/>
          <w:jc w:val="center"/>
        </w:trPr>
        <w:tc>
          <w:tcPr>
            <w:tcW w:w="2754" w:type="dxa"/>
            <w:shd w:val="clear" w:color="auto" w:fill="auto"/>
          </w:tcPr>
          <w:p w14:paraId="640180B9" w14:textId="77777777" w:rsidR="00554699" w:rsidRPr="00ED639D" w:rsidRDefault="00554699" w:rsidP="00A94FE1">
            <w:pPr>
              <w:rPr>
                <w:b/>
              </w:rPr>
            </w:pPr>
            <w:r w:rsidRPr="00ED639D">
              <w:rPr>
                <w:b/>
              </w:rPr>
              <w:t>PCI Coordinator</w:t>
            </w:r>
          </w:p>
        </w:tc>
        <w:tc>
          <w:tcPr>
            <w:tcW w:w="7321" w:type="dxa"/>
          </w:tcPr>
          <w:p w14:paraId="28B42614" w14:textId="77777777" w:rsidR="00554699" w:rsidRDefault="00554699" w:rsidP="00A94FE1">
            <w:pPr>
              <w:jc w:val="both"/>
            </w:pPr>
            <w:r>
              <w:t>An internal Queen’s staff member who coordinates the PCI compliance program and provides guidance to Queen’s merchants on issues pertaining to PCI compliance.</w:t>
            </w:r>
          </w:p>
        </w:tc>
      </w:tr>
      <w:tr w:rsidR="00554699" w14:paraId="6A175F38" w14:textId="77777777" w:rsidTr="00ED639D">
        <w:trPr>
          <w:trHeight w:val="259"/>
          <w:jc w:val="center"/>
        </w:trPr>
        <w:tc>
          <w:tcPr>
            <w:tcW w:w="2754" w:type="dxa"/>
            <w:shd w:val="clear" w:color="auto" w:fill="auto"/>
          </w:tcPr>
          <w:p w14:paraId="19186D87" w14:textId="77777777" w:rsidR="00554699" w:rsidRPr="00ED639D" w:rsidRDefault="00554699" w:rsidP="00A94FE1">
            <w:pPr>
              <w:rPr>
                <w:b/>
              </w:rPr>
            </w:pPr>
            <w:r w:rsidRPr="00ED639D">
              <w:rPr>
                <w:b/>
              </w:rPr>
              <w:t>PCI Merchant Contact</w:t>
            </w:r>
          </w:p>
        </w:tc>
        <w:tc>
          <w:tcPr>
            <w:tcW w:w="7321" w:type="dxa"/>
          </w:tcPr>
          <w:p w14:paraId="592E8E56" w14:textId="77777777" w:rsidR="00554699" w:rsidRDefault="00554699" w:rsidP="00A94FE1">
            <w:pPr>
              <w:jc w:val="both"/>
            </w:pPr>
            <w:r>
              <w:t xml:space="preserve">An individual operating on behalf of Queen’s to coordinate compliance for a specific merchant account. This role is responsible for maintaining compliance at the merchant level by managing user access, coordinating training, managing inventory, completing Point of Sale Inspection Logs, PCI Staff Logs, and reporting violations to the PCI Coordinator. </w:t>
            </w:r>
          </w:p>
        </w:tc>
      </w:tr>
      <w:tr w:rsidR="00554699" w14:paraId="2E2403DC" w14:textId="77777777" w:rsidTr="00ED639D">
        <w:trPr>
          <w:trHeight w:val="259"/>
          <w:jc w:val="center"/>
        </w:trPr>
        <w:tc>
          <w:tcPr>
            <w:tcW w:w="2754" w:type="dxa"/>
            <w:shd w:val="clear" w:color="auto" w:fill="auto"/>
          </w:tcPr>
          <w:p w14:paraId="1DACC95A" w14:textId="77777777" w:rsidR="00554699" w:rsidRPr="00ED639D" w:rsidRDefault="00554699" w:rsidP="00A94FE1">
            <w:pPr>
              <w:rPr>
                <w:b/>
              </w:rPr>
            </w:pPr>
            <w:r w:rsidRPr="00ED639D">
              <w:rPr>
                <w:b/>
              </w:rPr>
              <w:t>PCI Network</w:t>
            </w:r>
          </w:p>
        </w:tc>
        <w:tc>
          <w:tcPr>
            <w:tcW w:w="7321" w:type="dxa"/>
          </w:tcPr>
          <w:p w14:paraId="08B54BA7" w14:textId="77777777" w:rsidR="00554699" w:rsidRDefault="00554699" w:rsidP="00A94FE1">
            <w:pPr>
              <w:jc w:val="both"/>
            </w:pPr>
            <w:r>
              <w:t>A secured, segregated Queen’s network for the sole purpose of processing payment card data.</w:t>
            </w:r>
          </w:p>
        </w:tc>
      </w:tr>
      <w:tr w:rsidR="00554699" w14:paraId="44A5CE52" w14:textId="77777777" w:rsidTr="00ED639D">
        <w:trPr>
          <w:trHeight w:val="259"/>
          <w:jc w:val="center"/>
        </w:trPr>
        <w:tc>
          <w:tcPr>
            <w:tcW w:w="2754" w:type="dxa"/>
            <w:shd w:val="clear" w:color="auto" w:fill="auto"/>
          </w:tcPr>
          <w:p w14:paraId="36B4DF9F" w14:textId="77777777" w:rsidR="00554699" w:rsidRPr="00ED639D" w:rsidRDefault="00554699" w:rsidP="00A94FE1">
            <w:pPr>
              <w:rPr>
                <w:b/>
              </w:rPr>
            </w:pPr>
            <w:r w:rsidRPr="00ED639D">
              <w:rPr>
                <w:b/>
              </w:rPr>
              <w:t>PCI Staff Log</w:t>
            </w:r>
          </w:p>
        </w:tc>
        <w:tc>
          <w:tcPr>
            <w:tcW w:w="7321" w:type="dxa"/>
          </w:tcPr>
          <w:p w14:paraId="53F3A24A" w14:textId="77777777" w:rsidR="00554699" w:rsidRDefault="00554699" w:rsidP="00A94FE1">
            <w:pPr>
              <w:jc w:val="both"/>
            </w:pPr>
            <w:r>
              <w:t xml:space="preserve">An internal Queen’s log that details the Queen’s employees, contractors, and/or service providers acting on behalf of the University who are </w:t>
            </w:r>
            <w:r>
              <w:lastRenderedPageBreak/>
              <w:t>involved in the acceptance, capturing, storage, transmittal, and/or processing of payment card data. The log includes a record of training, confirmation of a signed ethics agreement, and access levels/permissions.</w:t>
            </w:r>
          </w:p>
        </w:tc>
      </w:tr>
      <w:tr w:rsidR="00554699" w:rsidRPr="00980A2B" w14:paraId="1494C2F3" w14:textId="77777777" w:rsidTr="00ED639D">
        <w:trPr>
          <w:trHeight w:val="259"/>
          <w:jc w:val="center"/>
        </w:trPr>
        <w:tc>
          <w:tcPr>
            <w:tcW w:w="2754" w:type="dxa"/>
            <w:shd w:val="clear" w:color="auto" w:fill="auto"/>
          </w:tcPr>
          <w:p w14:paraId="27E8E6AC" w14:textId="77777777" w:rsidR="00554699" w:rsidRPr="00ED639D" w:rsidRDefault="00554699" w:rsidP="00A94FE1">
            <w:pPr>
              <w:rPr>
                <w:b/>
              </w:rPr>
            </w:pPr>
            <w:r w:rsidRPr="00ED639D">
              <w:rPr>
                <w:b/>
              </w:rPr>
              <w:lastRenderedPageBreak/>
              <w:t>PCI Terminal</w:t>
            </w:r>
          </w:p>
        </w:tc>
        <w:tc>
          <w:tcPr>
            <w:tcW w:w="7321" w:type="dxa"/>
          </w:tcPr>
          <w:p w14:paraId="2CE627E2" w14:textId="77777777" w:rsidR="00554699" w:rsidRPr="00980A2B" w:rsidRDefault="00554699" w:rsidP="00A94FE1">
            <w:pPr>
              <w:jc w:val="both"/>
            </w:pPr>
            <w:r>
              <w:t>Hardware required to grant a Merchant’s e-commerce account access to the secure PCI Network. This is necessary in any instance where a merchant is entering payment card data into their e-commerce account on behalf of the cardholder.</w:t>
            </w:r>
          </w:p>
        </w:tc>
      </w:tr>
      <w:tr w:rsidR="00554699" w14:paraId="66BB2BB9" w14:textId="77777777" w:rsidTr="00ED639D">
        <w:trPr>
          <w:trHeight w:val="259"/>
          <w:jc w:val="center"/>
        </w:trPr>
        <w:tc>
          <w:tcPr>
            <w:tcW w:w="2754" w:type="dxa"/>
            <w:shd w:val="clear" w:color="auto" w:fill="auto"/>
          </w:tcPr>
          <w:p w14:paraId="2A07A072" w14:textId="77777777" w:rsidR="00554699" w:rsidRPr="00ED639D" w:rsidRDefault="00554699" w:rsidP="00A94FE1">
            <w:pPr>
              <w:rPr>
                <w:b/>
              </w:rPr>
            </w:pPr>
            <w:r w:rsidRPr="00ED639D">
              <w:rPr>
                <w:b/>
              </w:rPr>
              <w:t>PCI User ID</w:t>
            </w:r>
          </w:p>
        </w:tc>
        <w:tc>
          <w:tcPr>
            <w:tcW w:w="7321" w:type="dxa"/>
          </w:tcPr>
          <w:p w14:paraId="01A309CA" w14:textId="77777777" w:rsidR="00554699" w:rsidRDefault="00554699" w:rsidP="00A94FE1">
            <w:pPr>
              <w:jc w:val="both"/>
              <w:rPr>
                <w:i/>
              </w:rPr>
            </w:pPr>
            <w:r>
              <w:t>Individual user access to login to the PCI network via a PCI terminal.</w:t>
            </w:r>
          </w:p>
        </w:tc>
      </w:tr>
      <w:tr w:rsidR="00554699" w14:paraId="50114C0A" w14:textId="77777777" w:rsidTr="00ED639D">
        <w:trPr>
          <w:trHeight w:val="259"/>
          <w:jc w:val="center"/>
        </w:trPr>
        <w:tc>
          <w:tcPr>
            <w:tcW w:w="2754" w:type="dxa"/>
            <w:shd w:val="clear" w:color="auto" w:fill="auto"/>
          </w:tcPr>
          <w:p w14:paraId="358951E5" w14:textId="77777777" w:rsidR="00554699" w:rsidRPr="00ED639D" w:rsidRDefault="00554699" w:rsidP="00A94FE1">
            <w:pPr>
              <w:rPr>
                <w:b/>
              </w:rPr>
            </w:pPr>
            <w:r w:rsidRPr="00ED639D">
              <w:rPr>
                <w:b/>
              </w:rPr>
              <w:t>Personal Identification Number (PIN)</w:t>
            </w:r>
          </w:p>
        </w:tc>
        <w:tc>
          <w:tcPr>
            <w:tcW w:w="7321" w:type="dxa"/>
          </w:tcPr>
          <w:p w14:paraId="70177C87" w14:textId="4C183F43" w:rsidR="00554699" w:rsidRDefault="00554699" w:rsidP="00A94FE1">
            <w:pPr>
              <w:jc w:val="both"/>
            </w:pPr>
            <w:r>
              <w:t xml:space="preserve">Secret numerical password known only to the user and a system to authenticate the user to the system. The user is only granted access if the PIN the user provided matches the PIN in the system. Typical PINs are used for automated teller machines for cash withdrawal transactions. Another type of PIN is one used in </w:t>
            </w:r>
            <w:r w:rsidRPr="00313292">
              <w:t>EMV</w:t>
            </w:r>
            <w:r>
              <w:t xml:space="preserve"> chip cards where the PIN replaces the cardholder’s </w:t>
            </w:r>
            <w:proofErr w:type="spellStart"/>
            <w:r>
              <w:t>signature.</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54744EB3" w14:textId="77777777" w:rsidTr="00ED639D">
        <w:trPr>
          <w:trHeight w:val="259"/>
          <w:jc w:val="center"/>
        </w:trPr>
        <w:tc>
          <w:tcPr>
            <w:tcW w:w="2754" w:type="dxa"/>
            <w:shd w:val="clear" w:color="auto" w:fill="auto"/>
          </w:tcPr>
          <w:p w14:paraId="429F055B" w14:textId="77777777" w:rsidR="00554699" w:rsidRPr="00ED639D" w:rsidRDefault="00554699" w:rsidP="00A94FE1">
            <w:pPr>
              <w:rPr>
                <w:b/>
              </w:rPr>
            </w:pPr>
            <w:r w:rsidRPr="00ED639D">
              <w:rPr>
                <w:b/>
              </w:rPr>
              <w:t>Point of Interaction (POI)</w:t>
            </w:r>
          </w:p>
        </w:tc>
        <w:tc>
          <w:tcPr>
            <w:tcW w:w="7321" w:type="dxa"/>
          </w:tcPr>
          <w:p w14:paraId="699D5936" w14:textId="593FDCD5" w:rsidR="00554699" w:rsidRDefault="00554699" w:rsidP="00A94FE1">
            <w:pPr>
              <w:jc w:val="both"/>
            </w:pPr>
            <w:r>
              <w:t xml:space="preserve">The initial point where data is read from a card. An electronic transaction-acceptance product, a POI consists of hardware and software and is hosted in acceptance equipment to enable a cardholder to perform a payment card transaction. The POI may be attended or unattended. POI transactions are typically integrated circuit (chip) and/or magnetic-stripe card-based payment </w:t>
            </w:r>
            <w:proofErr w:type="spellStart"/>
            <w:r>
              <w:t>transactions.</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4CB77A30" w14:textId="77777777" w:rsidTr="00ED639D">
        <w:trPr>
          <w:trHeight w:val="259"/>
          <w:jc w:val="center"/>
        </w:trPr>
        <w:tc>
          <w:tcPr>
            <w:tcW w:w="2754" w:type="dxa"/>
            <w:shd w:val="clear" w:color="auto" w:fill="auto"/>
          </w:tcPr>
          <w:p w14:paraId="0CFBF9F4" w14:textId="77777777" w:rsidR="00554699" w:rsidRPr="00ED639D" w:rsidRDefault="00554699" w:rsidP="00A94FE1">
            <w:pPr>
              <w:rPr>
                <w:b/>
              </w:rPr>
            </w:pPr>
            <w:r w:rsidRPr="00ED639D">
              <w:rPr>
                <w:b/>
              </w:rPr>
              <w:t>Point of Sale (POS)</w:t>
            </w:r>
          </w:p>
        </w:tc>
        <w:tc>
          <w:tcPr>
            <w:tcW w:w="7321" w:type="dxa"/>
          </w:tcPr>
          <w:p w14:paraId="39B0BFB6" w14:textId="0207BC03" w:rsidR="00554699" w:rsidRDefault="00554699" w:rsidP="00A94FE1">
            <w:pPr>
              <w:jc w:val="both"/>
            </w:pPr>
            <w:r>
              <w:t xml:space="preserve">Hardware and/or software used to process payment card transactions at merchant locations. Examples include PIN pads, swipes, pay and display </w:t>
            </w:r>
            <w:proofErr w:type="spellStart"/>
            <w:r>
              <w:t>meters.</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1E208AAA" w14:textId="77777777" w:rsidTr="00ED639D">
        <w:trPr>
          <w:trHeight w:val="259"/>
          <w:jc w:val="center"/>
        </w:trPr>
        <w:tc>
          <w:tcPr>
            <w:tcW w:w="2754" w:type="dxa"/>
            <w:shd w:val="clear" w:color="auto" w:fill="auto"/>
          </w:tcPr>
          <w:p w14:paraId="35D771CF" w14:textId="77777777" w:rsidR="00554699" w:rsidRPr="00ED639D" w:rsidRDefault="00554699" w:rsidP="00A94FE1">
            <w:pPr>
              <w:rPr>
                <w:b/>
              </w:rPr>
            </w:pPr>
            <w:r w:rsidRPr="00ED639D">
              <w:rPr>
                <w:b/>
              </w:rPr>
              <w:t>POS Inspection Log</w:t>
            </w:r>
          </w:p>
        </w:tc>
        <w:tc>
          <w:tcPr>
            <w:tcW w:w="7321" w:type="dxa"/>
          </w:tcPr>
          <w:p w14:paraId="2535DB08" w14:textId="77777777" w:rsidR="00554699" w:rsidRDefault="00554699" w:rsidP="00A94FE1">
            <w:pPr>
              <w:jc w:val="both"/>
            </w:pPr>
            <w:r>
              <w:t>An internal Queen’s log that details the inspections of hardware POS devices.</w:t>
            </w:r>
          </w:p>
        </w:tc>
      </w:tr>
      <w:tr w:rsidR="00554699" w14:paraId="48F3101A" w14:textId="77777777" w:rsidTr="00ED639D">
        <w:trPr>
          <w:trHeight w:val="259"/>
          <w:jc w:val="center"/>
        </w:trPr>
        <w:tc>
          <w:tcPr>
            <w:tcW w:w="2754" w:type="dxa"/>
            <w:shd w:val="clear" w:color="auto" w:fill="auto"/>
          </w:tcPr>
          <w:p w14:paraId="61745D8B" w14:textId="77777777" w:rsidR="00554699" w:rsidRPr="00ED639D" w:rsidRDefault="00554699" w:rsidP="00A94FE1">
            <w:pPr>
              <w:rPr>
                <w:b/>
              </w:rPr>
            </w:pPr>
            <w:r w:rsidRPr="00ED639D">
              <w:rPr>
                <w:b/>
              </w:rPr>
              <w:t>Primary Account Number (PAN)</w:t>
            </w:r>
          </w:p>
        </w:tc>
        <w:tc>
          <w:tcPr>
            <w:tcW w:w="7321" w:type="dxa"/>
          </w:tcPr>
          <w:p w14:paraId="483589C4" w14:textId="7DC47064" w:rsidR="00554699" w:rsidRDefault="00554699" w:rsidP="00A94FE1">
            <w:pPr>
              <w:jc w:val="both"/>
            </w:pPr>
            <w:r>
              <w:t xml:space="preserve">Unique payment card number (typically for credit or debit cards) that identifies the issuer and the </w:t>
            </w:r>
            <w:proofErr w:type="gramStart"/>
            <w:r>
              <w:t>particular cardholder</w:t>
            </w:r>
            <w:proofErr w:type="gramEnd"/>
            <w:r>
              <w:t xml:space="preserve"> </w:t>
            </w:r>
            <w:proofErr w:type="spellStart"/>
            <w:r>
              <w:t>account.</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1B4D4AAF" w14:textId="77777777" w:rsidTr="00ED639D">
        <w:trPr>
          <w:trHeight w:val="259"/>
          <w:jc w:val="center"/>
        </w:trPr>
        <w:tc>
          <w:tcPr>
            <w:tcW w:w="2754" w:type="dxa"/>
            <w:shd w:val="clear" w:color="auto" w:fill="auto"/>
          </w:tcPr>
          <w:p w14:paraId="2FBD7E80" w14:textId="77777777" w:rsidR="00554699" w:rsidRPr="00ED639D" w:rsidRDefault="00554699" w:rsidP="00A94FE1">
            <w:pPr>
              <w:rPr>
                <w:b/>
              </w:rPr>
            </w:pPr>
            <w:r w:rsidRPr="00ED639D">
              <w:rPr>
                <w:b/>
              </w:rPr>
              <w:t>Qualified Security Assessor (QSA)</w:t>
            </w:r>
          </w:p>
        </w:tc>
        <w:tc>
          <w:tcPr>
            <w:tcW w:w="7321" w:type="dxa"/>
          </w:tcPr>
          <w:p w14:paraId="13AAD22A" w14:textId="74189A19" w:rsidR="00554699" w:rsidRDefault="00554699" w:rsidP="00A94FE1">
            <w:pPr>
              <w:jc w:val="both"/>
            </w:pPr>
            <w:r>
              <w:t xml:space="preserve">An external auditor qualified by PCI SSC to perform PCI DSS on-site </w:t>
            </w:r>
            <w:proofErr w:type="spellStart"/>
            <w:r>
              <w:t>assessments.</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5836AC9E" w14:textId="77777777" w:rsidTr="00ED639D">
        <w:trPr>
          <w:trHeight w:val="259"/>
          <w:jc w:val="center"/>
        </w:trPr>
        <w:tc>
          <w:tcPr>
            <w:tcW w:w="2754" w:type="dxa"/>
            <w:shd w:val="clear" w:color="auto" w:fill="auto"/>
          </w:tcPr>
          <w:p w14:paraId="7F36E29A" w14:textId="77777777" w:rsidR="00554699" w:rsidRPr="00ED639D" w:rsidRDefault="00554699" w:rsidP="00A94FE1">
            <w:pPr>
              <w:rPr>
                <w:b/>
              </w:rPr>
            </w:pPr>
            <w:r w:rsidRPr="00ED639D">
              <w:rPr>
                <w:b/>
              </w:rPr>
              <w:t>Self-Assessment Questionnaire (SAQ)</w:t>
            </w:r>
          </w:p>
        </w:tc>
        <w:tc>
          <w:tcPr>
            <w:tcW w:w="7321" w:type="dxa"/>
          </w:tcPr>
          <w:p w14:paraId="77A035A3" w14:textId="6EDCA5E5" w:rsidR="00554699" w:rsidRDefault="00554699" w:rsidP="00A94FE1">
            <w:pPr>
              <w:jc w:val="both"/>
            </w:pPr>
            <w:r>
              <w:t xml:space="preserve">Reporting tool used to document self-assessment results of an entity’s business processes and compliance with the PCI </w:t>
            </w:r>
            <w:proofErr w:type="spellStart"/>
            <w:r>
              <w:t>DSS.</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2CD220B7" w14:textId="77777777" w:rsidTr="00ED639D">
        <w:trPr>
          <w:trHeight w:val="259"/>
          <w:jc w:val="center"/>
        </w:trPr>
        <w:tc>
          <w:tcPr>
            <w:tcW w:w="2754" w:type="dxa"/>
            <w:shd w:val="clear" w:color="auto" w:fill="auto"/>
          </w:tcPr>
          <w:p w14:paraId="448913B9" w14:textId="77777777" w:rsidR="00554699" w:rsidRPr="00ED639D" w:rsidRDefault="00554699" w:rsidP="00A94FE1">
            <w:pPr>
              <w:rPr>
                <w:b/>
              </w:rPr>
            </w:pPr>
            <w:r w:rsidRPr="00ED639D">
              <w:rPr>
                <w:b/>
              </w:rPr>
              <w:t>Security and Privacy Risk Assessment (SPRA)</w:t>
            </w:r>
          </w:p>
        </w:tc>
        <w:tc>
          <w:tcPr>
            <w:tcW w:w="7321" w:type="dxa"/>
          </w:tcPr>
          <w:p w14:paraId="59C67061" w14:textId="77777777" w:rsidR="00554699" w:rsidRDefault="00554699" w:rsidP="00A94FE1">
            <w:pPr>
              <w:jc w:val="both"/>
            </w:pPr>
            <w:r>
              <w:t>An internal Queen’s tool used to determine and manage risk associated with the procurement of external goods and services. Part of the ATO process.</w:t>
            </w:r>
          </w:p>
        </w:tc>
      </w:tr>
      <w:tr w:rsidR="00554699" w14:paraId="56EC3FE5" w14:textId="77777777" w:rsidTr="00ED639D">
        <w:trPr>
          <w:trHeight w:val="259"/>
          <w:jc w:val="center"/>
        </w:trPr>
        <w:tc>
          <w:tcPr>
            <w:tcW w:w="2754" w:type="dxa"/>
            <w:shd w:val="clear" w:color="auto" w:fill="auto"/>
          </w:tcPr>
          <w:p w14:paraId="143DE067" w14:textId="77777777" w:rsidR="00554699" w:rsidRPr="00ED639D" w:rsidRDefault="00554699" w:rsidP="00A94FE1">
            <w:pPr>
              <w:rPr>
                <w:b/>
              </w:rPr>
            </w:pPr>
            <w:r w:rsidRPr="00ED639D">
              <w:rPr>
                <w:b/>
              </w:rPr>
              <w:lastRenderedPageBreak/>
              <w:t>Security Event</w:t>
            </w:r>
          </w:p>
        </w:tc>
        <w:tc>
          <w:tcPr>
            <w:tcW w:w="7321" w:type="dxa"/>
          </w:tcPr>
          <w:p w14:paraId="24D693AE" w14:textId="77777777" w:rsidR="00554699" w:rsidRDefault="00554699" w:rsidP="00A94FE1">
            <w:pPr>
              <w:jc w:val="both"/>
            </w:pPr>
            <w:r>
              <w:t>Any observable occurrence in a network or system. An example could be multiple failed log-ins.</w:t>
            </w:r>
          </w:p>
        </w:tc>
      </w:tr>
      <w:tr w:rsidR="00554699" w14:paraId="15FBC150" w14:textId="77777777" w:rsidTr="00ED639D">
        <w:trPr>
          <w:trHeight w:val="259"/>
          <w:jc w:val="center"/>
        </w:trPr>
        <w:tc>
          <w:tcPr>
            <w:tcW w:w="2754" w:type="dxa"/>
            <w:shd w:val="clear" w:color="auto" w:fill="auto"/>
          </w:tcPr>
          <w:p w14:paraId="405C0B2F" w14:textId="77777777" w:rsidR="00554699" w:rsidRPr="00ED639D" w:rsidRDefault="00554699" w:rsidP="00A94FE1">
            <w:pPr>
              <w:rPr>
                <w:b/>
              </w:rPr>
            </w:pPr>
            <w:r w:rsidRPr="00ED639D">
              <w:rPr>
                <w:b/>
              </w:rPr>
              <w:t>Security Incident</w:t>
            </w:r>
          </w:p>
        </w:tc>
        <w:tc>
          <w:tcPr>
            <w:tcW w:w="7321" w:type="dxa"/>
          </w:tcPr>
          <w:p w14:paraId="2625DF7F" w14:textId="77777777" w:rsidR="00554699" w:rsidRDefault="00554699" w:rsidP="00A94FE1">
            <w:pPr>
              <w:jc w:val="both"/>
            </w:pPr>
            <w:r>
              <w:t>A violation or imminent threat of violation of computer security policies, acceptable use policies, or standard security practices. An example could be missing paper files with credit card data.</w:t>
            </w:r>
          </w:p>
        </w:tc>
      </w:tr>
      <w:tr w:rsidR="00554699" w14:paraId="5F24E40A" w14:textId="77777777" w:rsidTr="00ED639D">
        <w:trPr>
          <w:trHeight w:val="259"/>
          <w:jc w:val="center"/>
        </w:trPr>
        <w:tc>
          <w:tcPr>
            <w:tcW w:w="2754" w:type="dxa"/>
            <w:shd w:val="clear" w:color="auto" w:fill="auto"/>
          </w:tcPr>
          <w:p w14:paraId="7633DA0C" w14:textId="77777777" w:rsidR="00554699" w:rsidRPr="00ED639D" w:rsidRDefault="00554699" w:rsidP="00A94FE1">
            <w:pPr>
              <w:rPr>
                <w:b/>
              </w:rPr>
            </w:pPr>
            <w:r w:rsidRPr="00ED639D">
              <w:rPr>
                <w:b/>
              </w:rPr>
              <w:t>Sensitive Authentication Data (SAD)</w:t>
            </w:r>
          </w:p>
        </w:tc>
        <w:tc>
          <w:tcPr>
            <w:tcW w:w="7321" w:type="dxa"/>
          </w:tcPr>
          <w:p w14:paraId="3E410335" w14:textId="21D522ED" w:rsidR="00554699" w:rsidRDefault="00554699" w:rsidP="00A94FE1">
            <w:pPr>
              <w:jc w:val="both"/>
            </w:pPr>
            <w:r>
              <w:t xml:space="preserve">Security-related information used to authenticate cardholders and/or authorize payment card transactions, stored on the card’s magnetic stripe or </w:t>
            </w:r>
            <w:proofErr w:type="spellStart"/>
            <w:r>
              <w:t>chip.</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52108B57" w14:textId="77777777" w:rsidTr="00ED639D">
        <w:trPr>
          <w:trHeight w:val="259"/>
          <w:jc w:val="center"/>
        </w:trPr>
        <w:tc>
          <w:tcPr>
            <w:tcW w:w="2754" w:type="dxa"/>
            <w:shd w:val="clear" w:color="auto" w:fill="auto"/>
          </w:tcPr>
          <w:p w14:paraId="254D4108" w14:textId="77777777" w:rsidR="00554699" w:rsidRPr="00ED639D" w:rsidRDefault="00554699" w:rsidP="00A94FE1">
            <w:pPr>
              <w:rPr>
                <w:b/>
              </w:rPr>
            </w:pPr>
            <w:r w:rsidRPr="00ED639D">
              <w:rPr>
                <w:b/>
              </w:rPr>
              <w:t>Service Provider</w:t>
            </w:r>
          </w:p>
        </w:tc>
        <w:tc>
          <w:tcPr>
            <w:tcW w:w="7321" w:type="dxa"/>
          </w:tcPr>
          <w:p w14:paraId="1FC48AE1" w14:textId="08A9A4C2" w:rsidR="00554699" w:rsidRDefault="00554699" w:rsidP="00A94FE1">
            <w:pPr>
              <w:jc w:val="both"/>
            </w:pPr>
            <w:r>
              <w:t xml:space="preserve">Business entity that is not a payment brand, directly involved in the processing, storage, or transmission of payment card data. This also includes companies that provide services that control or could impact the security of payment card data. Examples include managed service providers that provide managed firewalls, intrusion detection systems (IDS), and other services as well as hosting providers and other entities. Entities such as telecommunication companies that only provide communication links without access to the application layer of the communication link are </w:t>
            </w:r>
            <w:proofErr w:type="spellStart"/>
            <w:r>
              <w:t>excluded.</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04B4209C" w14:textId="77777777" w:rsidTr="00ED639D">
        <w:trPr>
          <w:trHeight w:val="259"/>
          <w:jc w:val="center"/>
        </w:trPr>
        <w:tc>
          <w:tcPr>
            <w:tcW w:w="2754" w:type="dxa"/>
            <w:shd w:val="clear" w:color="auto" w:fill="auto"/>
          </w:tcPr>
          <w:p w14:paraId="5FBE6BE2" w14:textId="77777777" w:rsidR="00554699" w:rsidRPr="00ED639D" w:rsidRDefault="00554699" w:rsidP="00A94FE1">
            <w:pPr>
              <w:rPr>
                <w:b/>
              </w:rPr>
            </w:pPr>
            <w:r w:rsidRPr="00ED639D">
              <w:rPr>
                <w:b/>
              </w:rPr>
              <w:t>Skimming Device</w:t>
            </w:r>
          </w:p>
        </w:tc>
        <w:tc>
          <w:tcPr>
            <w:tcW w:w="7321" w:type="dxa"/>
          </w:tcPr>
          <w:p w14:paraId="273DB0CB" w14:textId="6F2264F7" w:rsidR="00554699" w:rsidRDefault="00554699" w:rsidP="00A94FE1">
            <w:pPr>
              <w:jc w:val="both"/>
            </w:pPr>
            <w:r>
              <w:t xml:space="preserve">Also known as a “card skimmer.” A physical device, often attached to a legitimate card-reading device, designed to illegitimately capture and/or store the information from a payment </w:t>
            </w:r>
            <w:proofErr w:type="spellStart"/>
            <w:r>
              <w:t>card.</w:t>
            </w:r>
            <w:r>
              <w:fldChar w:fldCharType="begin"/>
            </w:r>
            <w:r>
              <w:instrText xml:space="preserve"> NOTEREF _Ref536601687 \f \h  \* MERGEFORMAT </w:instrText>
            </w:r>
            <w:r>
              <w:fldChar w:fldCharType="separate"/>
            </w:r>
            <w:r w:rsidRPr="00036F32">
              <w:rPr>
                <w:rStyle w:val="EndnoteReference"/>
              </w:rPr>
              <w:t>i</w:t>
            </w:r>
            <w:proofErr w:type="spellEnd"/>
            <w:r>
              <w:fldChar w:fldCharType="end"/>
            </w:r>
          </w:p>
        </w:tc>
      </w:tr>
      <w:tr w:rsidR="00554699" w14:paraId="4EB9BEC1" w14:textId="77777777" w:rsidTr="00ED639D">
        <w:trPr>
          <w:trHeight w:val="259"/>
          <w:jc w:val="center"/>
        </w:trPr>
        <w:tc>
          <w:tcPr>
            <w:tcW w:w="2754" w:type="dxa"/>
            <w:shd w:val="clear" w:color="auto" w:fill="auto"/>
          </w:tcPr>
          <w:p w14:paraId="0D53B161" w14:textId="77777777" w:rsidR="00554699" w:rsidRPr="00ED639D" w:rsidRDefault="00554699" w:rsidP="00A94FE1">
            <w:pPr>
              <w:rPr>
                <w:b/>
              </w:rPr>
            </w:pPr>
            <w:r w:rsidRPr="00ED639D">
              <w:rPr>
                <w:b/>
              </w:rPr>
              <w:t>Support Ticket</w:t>
            </w:r>
          </w:p>
        </w:tc>
        <w:tc>
          <w:tcPr>
            <w:tcW w:w="7321" w:type="dxa"/>
          </w:tcPr>
          <w:p w14:paraId="5EC88C43" w14:textId="77777777" w:rsidR="00554699" w:rsidRDefault="00554699" w:rsidP="00A94FE1">
            <w:pPr>
              <w:jc w:val="both"/>
            </w:pPr>
            <w:r>
              <w:t>A record of an issue that is logged in Queens’ internal IT ticketing system. Support tickets are triaged and assigned to the appropriate party for resolution.</w:t>
            </w:r>
          </w:p>
        </w:tc>
      </w:tr>
    </w:tbl>
    <w:p w14:paraId="112A2B12" w14:textId="77777777" w:rsidR="00D73F04" w:rsidRDefault="00D73F04" w:rsidP="00A94FE1">
      <w:pPr>
        <w:jc w:val="both"/>
      </w:pPr>
    </w:p>
    <w:tbl>
      <w:tblPr>
        <w:tblW w:w="1013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CellMar>
          <w:top w:w="28" w:type="dxa"/>
          <w:left w:w="28" w:type="dxa"/>
          <w:bottom w:w="28" w:type="dxa"/>
          <w:right w:w="28" w:type="dxa"/>
        </w:tblCellMar>
        <w:tblLook w:val="01E0" w:firstRow="1" w:lastRow="1" w:firstColumn="1" w:lastColumn="1" w:noHBand="0" w:noVBand="0"/>
      </w:tblPr>
      <w:tblGrid>
        <w:gridCol w:w="3043"/>
        <w:gridCol w:w="7094"/>
      </w:tblGrid>
      <w:tr w:rsidR="00D73F04" w14:paraId="2617C6A7" w14:textId="77777777" w:rsidTr="008A370A">
        <w:trPr>
          <w:trHeight w:val="275"/>
          <w:jc w:val="center"/>
        </w:trPr>
        <w:tc>
          <w:tcPr>
            <w:tcW w:w="3043" w:type="dxa"/>
            <w:shd w:val="clear" w:color="auto" w:fill="auto"/>
          </w:tcPr>
          <w:p w14:paraId="08C06E25" w14:textId="77777777" w:rsidR="00D73F04" w:rsidRPr="00953883" w:rsidRDefault="00D73F04" w:rsidP="00A94FE1">
            <w:pPr>
              <w:jc w:val="both"/>
            </w:pPr>
            <w:r>
              <w:t>Contact Officer</w:t>
            </w:r>
          </w:p>
        </w:tc>
        <w:tc>
          <w:tcPr>
            <w:tcW w:w="7094" w:type="dxa"/>
            <w:shd w:val="clear" w:color="auto" w:fill="FFFFFF"/>
          </w:tcPr>
          <w:p w14:paraId="594E2615" w14:textId="77777777" w:rsidR="00D73F04" w:rsidRDefault="00D73F04" w:rsidP="00A94FE1">
            <w:pPr>
              <w:jc w:val="both"/>
            </w:pPr>
            <w:r>
              <w:t>PCI Coordinator</w:t>
            </w:r>
          </w:p>
        </w:tc>
      </w:tr>
      <w:tr w:rsidR="00D73F04" w:rsidRPr="00953883" w14:paraId="7AF17CA4" w14:textId="77777777" w:rsidTr="008A370A">
        <w:trPr>
          <w:trHeight w:val="275"/>
          <w:jc w:val="center"/>
        </w:trPr>
        <w:tc>
          <w:tcPr>
            <w:tcW w:w="3043" w:type="dxa"/>
            <w:shd w:val="clear" w:color="auto" w:fill="auto"/>
          </w:tcPr>
          <w:p w14:paraId="792CB208" w14:textId="77777777" w:rsidR="00D73F04" w:rsidRPr="00953883" w:rsidRDefault="00D73F04" w:rsidP="00A94FE1">
            <w:pPr>
              <w:jc w:val="both"/>
            </w:pPr>
            <w:r w:rsidRPr="00953883">
              <w:t>Date Approved</w:t>
            </w:r>
          </w:p>
        </w:tc>
        <w:tc>
          <w:tcPr>
            <w:tcW w:w="7094" w:type="dxa"/>
            <w:shd w:val="clear" w:color="auto" w:fill="FFFFFF"/>
          </w:tcPr>
          <w:p w14:paraId="42B6D40B" w14:textId="77777777" w:rsidR="00D73F04" w:rsidRPr="00953883" w:rsidRDefault="00D73F04" w:rsidP="00A94FE1">
            <w:pPr>
              <w:jc w:val="both"/>
            </w:pPr>
            <w:r>
              <w:t>September 14</w:t>
            </w:r>
            <w:r w:rsidRPr="00885E01">
              <w:rPr>
                <w:vertAlign w:val="superscript"/>
              </w:rPr>
              <w:t>th</w:t>
            </w:r>
            <w:r>
              <w:t>, 2015</w:t>
            </w:r>
          </w:p>
        </w:tc>
      </w:tr>
      <w:tr w:rsidR="00D73F04" w:rsidRPr="00953883" w14:paraId="60ADAB0E" w14:textId="77777777" w:rsidTr="008A370A">
        <w:trPr>
          <w:trHeight w:val="275"/>
          <w:jc w:val="center"/>
        </w:trPr>
        <w:tc>
          <w:tcPr>
            <w:tcW w:w="3043" w:type="dxa"/>
            <w:shd w:val="clear" w:color="auto" w:fill="auto"/>
          </w:tcPr>
          <w:p w14:paraId="1D4786D5" w14:textId="77777777" w:rsidR="00D73F04" w:rsidRPr="00953883" w:rsidRDefault="00D73F04" w:rsidP="00A94FE1">
            <w:pPr>
              <w:jc w:val="both"/>
            </w:pPr>
            <w:r w:rsidRPr="00953883">
              <w:t>Approval Authority</w:t>
            </w:r>
          </w:p>
        </w:tc>
        <w:tc>
          <w:tcPr>
            <w:tcW w:w="7094" w:type="dxa"/>
            <w:shd w:val="clear" w:color="auto" w:fill="FFFFFF"/>
          </w:tcPr>
          <w:p w14:paraId="5C0C588B" w14:textId="77777777" w:rsidR="00D73F04" w:rsidRPr="00953883" w:rsidRDefault="00D73F04" w:rsidP="00A94FE1">
            <w:pPr>
              <w:jc w:val="both"/>
              <w:rPr>
                <w:lang w:val="fr-CA"/>
              </w:rPr>
            </w:pPr>
            <w:r w:rsidRPr="00953883">
              <w:rPr>
                <w:lang w:val="fr-CA"/>
              </w:rPr>
              <w:t>VPOC</w:t>
            </w:r>
          </w:p>
        </w:tc>
      </w:tr>
      <w:tr w:rsidR="00D73F04" w:rsidRPr="00953883" w14:paraId="542E680E" w14:textId="77777777" w:rsidTr="008A370A">
        <w:tblPrEx>
          <w:shd w:val="clear" w:color="auto" w:fill="auto"/>
        </w:tblPrEx>
        <w:trPr>
          <w:trHeight w:val="275"/>
          <w:jc w:val="center"/>
        </w:trPr>
        <w:tc>
          <w:tcPr>
            <w:tcW w:w="3043" w:type="dxa"/>
            <w:shd w:val="clear" w:color="auto" w:fill="auto"/>
          </w:tcPr>
          <w:p w14:paraId="01881AC5" w14:textId="77777777" w:rsidR="00D73F04" w:rsidRPr="00953883" w:rsidRDefault="00D73F04" w:rsidP="00A94FE1">
            <w:pPr>
              <w:jc w:val="both"/>
            </w:pPr>
            <w:r w:rsidRPr="00953883">
              <w:t>Date of Commencement</w:t>
            </w:r>
          </w:p>
        </w:tc>
        <w:tc>
          <w:tcPr>
            <w:tcW w:w="7094" w:type="dxa"/>
          </w:tcPr>
          <w:p w14:paraId="5D77B382" w14:textId="77777777" w:rsidR="00D73F04" w:rsidRPr="00953883" w:rsidRDefault="00D73F04" w:rsidP="00A94FE1">
            <w:pPr>
              <w:jc w:val="both"/>
            </w:pPr>
            <w:r>
              <w:t>September 14</w:t>
            </w:r>
            <w:r w:rsidRPr="00885E01">
              <w:rPr>
                <w:vertAlign w:val="superscript"/>
              </w:rPr>
              <w:t>th</w:t>
            </w:r>
            <w:r>
              <w:t>, 2015</w:t>
            </w:r>
          </w:p>
        </w:tc>
      </w:tr>
      <w:tr w:rsidR="00D73F04" w:rsidRPr="00953883" w14:paraId="58CCB9A5" w14:textId="77777777" w:rsidTr="008A370A">
        <w:tblPrEx>
          <w:shd w:val="clear" w:color="auto" w:fill="auto"/>
        </w:tblPrEx>
        <w:trPr>
          <w:trHeight w:val="275"/>
          <w:jc w:val="center"/>
        </w:trPr>
        <w:tc>
          <w:tcPr>
            <w:tcW w:w="3043" w:type="dxa"/>
            <w:shd w:val="clear" w:color="auto" w:fill="auto"/>
          </w:tcPr>
          <w:p w14:paraId="135AC09F" w14:textId="77777777" w:rsidR="00D73F04" w:rsidRPr="00953883" w:rsidRDefault="00D73F04" w:rsidP="00A94FE1">
            <w:pPr>
              <w:jc w:val="both"/>
            </w:pPr>
            <w:r w:rsidRPr="00953883">
              <w:t>Amendment Dates</w:t>
            </w:r>
          </w:p>
        </w:tc>
        <w:tc>
          <w:tcPr>
            <w:tcW w:w="7094" w:type="dxa"/>
          </w:tcPr>
          <w:p w14:paraId="1B9C5DF1" w14:textId="14D9E7D0" w:rsidR="00D73F04" w:rsidRPr="00953883" w:rsidRDefault="00A820D2" w:rsidP="00A94FE1">
            <w:pPr>
              <w:jc w:val="both"/>
            </w:pPr>
            <w:r>
              <w:t>Sept 2020</w:t>
            </w:r>
          </w:p>
        </w:tc>
      </w:tr>
      <w:tr w:rsidR="00D73F04" w:rsidRPr="00953883" w14:paraId="2212EB4E" w14:textId="77777777" w:rsidTr="008A370A">
        <w:tblPrEx>
          <w:shd w:val="clear" w:color="auto" w:fill="auto"/>
        </w:tblPrEx>
        <w:trPr>
          <w:trHeight w:val="291"/>
          <w:jc w:val="center"/>
        </w:trPr>
        <w:tc>
          <w:tcPr>
            <w:tcW w:w="3043" w:type="dxa"/>
            <w:shd w:val="clear" w:color="auto" w:fill="auto"/>
          </w:tcPr>
          <w:p w14:paraId="40FAD9A4" w14:textId="77777777" w:rsidR="00D73F04" w:rsidRPr="00953883" w:rsidRDefault="00D73F04" w:rsidP="00A94FE1">
            <w:pPr>
              <w:jc w:val="both"/>
            </w:pPr>
            <w:r w:rsidRPr="00953883">
              <w:t>Date for Next Review</w:t>
            </w:r>
          </w:p>
        </w:tc>
        <w:tc>
          <w:tcPr>
            <w:tcW w:w="7094" w:type="dxa"/>
          </w:tcPr>
          <w:p w14:paraId="727C353A" w14:textId="77777777" w:rsidR="00D73F04" w:rsidRPr="00953883" w:rsidRDefault="00D73F04" w:rsidP="00A94FE1">
            <w:pPr>
              <w:jc w:val="both"/>
            </w:pPr>
            <w:r>
              <w:t>Jan 2024</w:t>
            </w:r>
          </w:p>
        </w:tc>
      </w:tr>
      <w:tr w:rsidR="00D73F04" w:rsidRPr="001D7C07" w14:paraId="6E9AB43C" w14:textId="77777777" w:rsidTr="008A370A">
        <w:tblPrEx>
          <w:shd w:val="clear" w:color="auto" w:fill="auto"/>
        </w:tblPrEx>
        <w:trPr>
          <w:trHeight w:val="291"/>
          <w:jc w:val="center"/>
        </w:trPr>
        <w:tc>
          <w:tcPr>
            <w:tcW w:w="3043" w:type="dxa"/>
            <w:tcBorders>
              <w:bottom w:val="single" w:sz="4" w:space="0" w:color="C0C0C0"/>
            </w:tcBorders>
            <w:shd w:val="clear" w:color="auto" w:fill="auto"/>
          </w:tcPr>
          <w:p w14:paraId="4AD9E547" w14:textId="77777777" w:rsidR="00D73F04" w:rsidRPr="00953883" w:rsidRDefault="00D73F04" w:rsidP="00A94FE1">
            <w:r w:rsidRPr="00953883">
              <w:t>Related Policies, Procedures and Guidelines</w:t>
            </w:r>
          </w:p>
        </w:tc>
        <w:tc>
          <w:tcPr>
            <w:tcW w:w="7094" w:type="dxa"/>
          </w:tcPr>
          <w:p w14:paraId="243DBBBF" w14:textId="16EBA213" w:rsidR="00D73F04" w:rsidRPr="001D7C07" w:rsidRDefault="006E10B8" w:rsidP="00A94FE1">
            <w:pPr>
              <w:pStyle w:val="ListParagraph"/>
              <w:numPr>
                <w:ilvl w:val="0"/>
                <w:numId w:val="9"/>
              </w:numPr>
              <w:jc w:val="both"/>
            </w:pPr>
            <w:hyperlink r:id="rId26" w:history="1">
              <w:r w:rsidR="00D73F04" w:rsidRPr="00A820D2">
                <w:rPr>
                  <w:rStyle w:val="Hyperlink"/>
                </w:rPr>
                <w:t>Payment Card Acceptance</w:t>
              </w:r>
              <w:r w:rsidR="00D73F04" w:rsidRPr="00A820D2">
                <w:rPr>
                  <w:rStyle w:val="Hyperlink"/>
                </w:rPr>
                <w:t xml:space="preserve"> </w:t>
              </w:r>
              <w:r w:rsidR="00D73F04" w:rsidRPr="00A820D2">
                <w:rPr>
                  <w:rStyle w:val="Hyperlink"/>
                </w:rPr>
                <w:t>Policy</w:t>
              </w:r>
            </w:hyperlink>
          </w:p>
          <w:p w14:paraId="6F5857E4" w14:textId="77777777" w:rsidR="00D73F04" w:rsidRPr="001D7C07" w:rsidRDefault="006E10B8" w:rsidP="00A94FE1">
            <w:pPr>
              <w:pStyle w:val="ListParagraph"/>
              <w:numPr>
                <w:ilvl w:val="0"/>
                <w:numId w:val="9"/>
              </w:numPr>
              <w:jc w:val="both"/>
            </w:pPr>
            <w:hyperlink r:id="rId27" w:history="1">
              <w:r w:rsidR="00D73F04" w:rsidRPr="001D7C07">
                <w:rPr>
                  <w:rStyle w:val="Hyperlink"/>
                </w:rPr>
                <w:t>Electronic Information</w:t>
              </w:r>
              <w:r w:rsidR="00D73F04" w:rsidRPr="001D7C07">
                <w:rPr>
                  <w:rStyle w:val="Hyperlink"/>
                </w:rPr>
                <w:t xml:space="preserve"> </w:t>
              </w:r>
              <w:r w:rsidR="00D73F04" w:rsidRPr="001D7C07">
                <w:rPr>
                  <w:rStyle w:val="Hyperlink"/>
                </w:rPr>
                <w:t>Security Policy Framework</w:t>
              </w:r>
            </w:hyperlink>
          </w:p>
          <w:p w14:paraId="2B30A6F0" w14:textId="42984770" w:rsidR="00D73F04" w:rsidRPr="00636A6D" w:rsidRDefault="006E10B8" w:rsidP="00A94FE1">
            <w:pPr>
              <w:pStyle w:val="ListParagraph"/>
              <w:numPr>
                <w:ilvl w:val="0"/>
                <w:numId w:val="9"/>
              </w:numPr>
              <w:jc w:val="both"/>
              <w:rPr>
                <w:rStyle w:val="Hyperlink"/>
                <w:color w:val="auto"/>
                <w:u w:val="none"/>
              </w:rPr>
            </w:pPr>
            <w:hyperlink r:id="rId28" w:history="1">
              <w:r w:rsidR="00D73F04" w:rsidRPr="001D7C07">
                <w:rPr>
                  <w:rStyle w:val="Hyperlink"/>
                </w:rPr>
                <w:t>Electronic Inform</w:t>
              </w:r>
              <w:r w:rsidR="00D73F04" w:rsidRPr="001D7C07">
                <w:rPr>
                  <w:rStyle w:val="Hyperlink"/>
                </w:rPr>
                <w:t>a</w:t>
              </w:r>
              <w:r w:rsidR="00D73F04" w:rsidRPr="001D7C07">
                <w:rPr>
                  <w:rStyle w:val="Hyperlink"/>
                </w:rPr>
                <w:t>tion Security Policy</w:t>
              </w:r>
            </w:hyperlink>
          </w:p>
          <w:p w14:paraId="66F95DA4" w14:textId="078A4123" w:rsidR="00636A6D" w:rsidRPr="00636A6D" w:rsidRDefault="006E10B8" w:rsidP="00A94FE1">
            <w:pPr>
              <w:pStyle w:val="ListParagraph"/>
              <w:numPr>
                <w:ilvl w:val="0"/>
                <w:numId w:val="9"/>
              </w:numPr>
              <w:jc w:val="both"/>
            </w:pPr>
            <w:hyperlink r:id="rId29" w:history="1">
              <w:r w:rsidR="00636A6D" w:rsidRPr="00636A6D">
                <w:rPr>
                  <w:rStyle w:val="Hyperlink"/>
                </w:rPr>
                <w:t>Network and Syste</w:t>
              </w:r>
              <w:r w:rsidR="00636A6D" w:rsidRPr="00636A6D">
                <w:rPr>
                  <w:rStyle w:val="Hyperlink"/>
                </w:rPr>
                <w:t>m</w:t>
              </w:r>
              <w:r w:rsidR="00636A6D" w:rsidRPr="00636A6D">
                <w:rPr>
                  <w:rStyle w:val="Hyperlink"/>
                </w:rPr>
                <w:t>s Security Policy</w:t>
              </w:r>
            </w:hyperlink>
          </w:p>
          <w:p w14:paraId="65264887" w14:textId="77777777" w:rsidR="00D73F04" w:rsidRPr="001D7C07" w:rsidRDefault="006E10B8" w:rsidP="00A94FE1">
            <w:pPr>
              <w:pStyle w:val="ListParagraph"/>
              <w:numPr>
                <w:ilvl w:val="0"/>
                <w:numId w:val="9"/>
              </w:numPr>
              <w:jc w:val="both"/>
              <w:rPr>
                <w:rStyle w:val="Hyperlink"/>
                <w:color w:val="auto"/>
                <w:u w:val="none"/>
              </w:rPr>
            </w:pPr>
            <w:hyperlink r:id="rId30" w:history="1">
              <w:r w:rsidR="00D73F04" w:rsidRPr="001D7C07">
                <w:rPr>
                  <w:rStyle w:val="Hyperlink"/>
                </w:rPr>
                <w:t>Records Retentio</w:t>
              </w:r>
              <w:r w:rsidR="00D73F04" w:rsidRPr="001D7C07">
                <w:rPr>
                  <w:rStyle w:val="Hyperlink"/>
                </w:rPr>
                <w:t>n</w:t>
              </w:r>
              <w:r w:rsidR="00D73F04" w:rsidRPr="001D7C07">
                <w:rPr>
                  <w:rStyle w:val="Hyperlink"/>
                </w:rPr>
                <w:t xml:space="preserve"> Schedules</w:t>
              </w:r>
            </w:hyperlink>
          </w:p>
          <w:p w14:paraId="08B9559D" w14:textId="6EC32406" w:rsidR="00D73F04" w:rsidRPr="004517C7" w:rsidRDefault="006E10B8" w:rsidP="00A94FE1">
            <w:pPr>
              <w:pStyle w:val="ListParagraph"/>
              <w:numPr>
                <w:ilvl w:val="0"/>
                <w:numId w:val="9"/>
              </w:numPr>
              <w:jc w:val="both"/>
              <w:rPr>
                <w:rStyle w:val="Hyperlink"/>
                <w:color w:val="auto"/>
                <w:u w:val="none"/>
              </w:rPr>
            </w:pPr>
            <w:hyperlink r:id="rId31" w:history="1">
              <w:r w:rsidR="00636A6D" w:rsidRPr="00E0158F">
                <w:rPr>
                  <w:rStyle w:val="Hyperlink"/>
                </w:rPr>
                <w:t>Access to Information a</w:t>
              </w:r>
              <w:r w:rsidR="00636A6D" w:rsidRPr="00E0158F">
                <w:rPr>
                  <w:rStyle w:val="Hyperlink"/>
                </w:rPr>
                <w:t>n</w:t>
              </w:r>
              <w:r w:rsidR="00636A6D" w:rsidRPr="00E0158F">
                <w:rPr>
                  <w:rStyle w:val="Hyperlink"/>
                </w:rPr>
                <w:t>d Protection of Privacy Policy</w:t>
              </w:r>
            </w:hyperlink>
          </w:p>
          <w:p w14:paraId="49161118" w14:textId="77777777" w:rsidR="00D73F04" w:rsidRPr="001D7C07" w:rsidRDefault="006E10B8" w:rsidP="00A94FE1">
            <w:pPr>
              <w:pStyle w:val="ListParagraph"/>
              <w:numPr>
                <w:ilvl w:val="0"/>
                <w:numId w:val="9"/>
              </w:numPr>
              <w:jc w:val="both"/>
            </w:pPr>
            <w:hyperlink r:id="rId32" w:history="1">
              <w:r w:rsidR="00D73F04" w:rsidRPr="005A4D31">
                <w:rPr>
                  <w:rStyle w:val="Hyperlink"/>
                </w:rPr>
                <w:t>Payment</w:t>
              </w:r>
              <w:r w:rsidR="00D73F04" w:rsidRPr="00C06DC8">
                <w:rPr>
                  <w:rStyle w:val="Hyperlink"/>
                </w:rPr>
                <w:t xml:space="preserve"> Card Indu</w:t>
              </w:r>
              <w:r w:rsidR="00D73F04" w:rsidRPr="00C06DC8">
                <w:rPr>
                  <w:rStyle w:val="Hyperlink"/>
                </w:rPr>
                <w:t>s</w:t>
              </w:r>
              <w:r w:rsidR="00D73F04" w:rsidRPr="00C06DC8">
                <w:rPr>
                  <w:rStyle w:val="Hyperlink"/>
                </w:rPr>
                <w:t>try Data Security Standard</w:t>
              </w:r>
            </w:hyperlink>
          </w:p>
        </w:tc>
      </w:tr>
    </w:tbl>
    <w:p w14:paraId="0662B6A6" w14:textId="77777777" w:rsidR="00D73F04" w:rsidRPr="00CB15F5" w:rsidRDefault="00D73F04" w:rsidP="00A94FE1">
      <w:pPr>
        <w:jc w:val="both"/>
      </w:pPr>
    </w:p>
    <w:sectPr w:rsidR="00D73F04" w:rsidRPr="00CB15F5" w:rsidSect="0025481A">
      <w:footerReference w:type="even" r:id="rId33"/>
      <w:footerReference w:type="default" r:id="rId34"/>
      <w:footerReference w:type="first" r:id="rId35"/>
      <w:pgSz w:w="12240" w:h="15840" w:code="1"/>
      <w:pgMar w:top="1134" w:right="1440" w:bottom="1134" w:left="1440" w:header="709"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5711" w14:textId="77777777" w:rsidR="00D83A65" w:rsidRDefault="00D83A65" w:rsidP="00FB67FF">
      <w:r>
        <w:separator/>
      </w:r>
    </w:p>
  </w:endnote>
  <w:endnote w:type="continuationSeparator" w:id="0">
    <w:p w14:paraId="04E02021" w14:textId="77777777" w:rsidR="00D83A65" w:rsidRDefault="00D83A65" w:rsidP="00FB67FF">
      <w:r>
        <w:continuationSeparator/>
      </w:r>
    </w:p>
  </w:endnote>
  <w:endnote w:id="1">
    <w:p w14:paraId="46D7D8D7" w14:textId="77777777" w:rsidR="00D83A65" w:rsidRPr="005611A4" w:rsidRDefault="00D83A65" w:rsidP="00FB67FF">
      <w:pPr>
        <w:pStyle w:val="EndnoteText"/>
      </w:pPr>
      <w:r>
        <w:rPr>
          <w:rStyle w:val="EndnoteReference"/>
        </w:rPr>
        <w:endnoteRef/>
      </w:r>
      <w:r>
        <w:t xml:space="preserve"> As defined by the Payment Card Industry Data Security Standard Glossary version 3.2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54DF" w14:textId="77777777" w:rsidR="00D83A65" w:rsidRDefault="00D83A65" w:rsidP="00FB67F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A78B25E" w14:textId="77777777" w:rsidR="00D83A65" w:rsidRDefault="00D83A65" w:rsidP="00FB6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1AFE" w14:textId="3B667F74" w:rsidR="00D83A65" w:rsidRPr="00BC1ACD" w:rsidRDefault="00D83A65" w:rsidP="00BC1ACD">
    <w:pPr>
      <w:pStyle w:val="Footer"/>
      <w:pBdr>
        <w:top w:val="single" w:sz="4" w:space="1" w:color="auto"/>
      </w:pBdr>
      <w:spacing w:after="0"/>
      <w:jc w:val="right"/>
      <w:rPr>
        <w:rStyle w:val="PageNumber"/>
        <w:sz w:val="16"/>
        <w:szCs w:val="16"/>
      </w:rPr>
    </w:pPr>
    <w:r w:rsidRPr="00BC1ACD">
      <w:rPr>
        <w:rStyle w:val="PageNumber"/>
        <w:sz w:val="16"/>
        <w:szCs w:val="16"/>
      </w:rPr>
      <w:fldChar w:fldCharType="begin"/>
    </w:r>
    <w:r w:rsidRPr="00BC1ACD">
      <w:rPr>
        <w:rStyle w:val="PageNumber"/>
        <w:sz w:val="16"/>
        <w:szCs w:val="16"/>
      </w:rPr>
      <w:instrText xml:space="preserve">PAGE  </w:instrText>
    </w:r>
    <w:r w:rsidRPr="00BC1ACD">
      <w:rPr>
        <w:rStyle w:val="PageNumber"/>
        <w:sz w:val="16"/>
        <w:szCs w:val="16"/>
      </w:rPr>
      <w:fldChar w:fldCharType="separate"/>
    </w:r>
    <w:r w:rsidRPr="00BC1ACD">
      <w:rPr>
        <w:rStyle w:val="PageNumber"/>
        <w:noProof/>
        <w:sz w:val="16"/>
        <w:szCs w:val="16"/>
      </w:rPr>
      <w:t>14</w:t>
    </w:r>
    <w:r w:rsidRPr="00BC1ACD">
      <w:rPr>
        <w:rStyle w:val="PageNumber"/>
        <w:sz w:val="16"/>
        <w:szCs w:val="16"/>
      </w:rPr>
      <w:fldChar w:fldCharType="end"/>
    </w:r>
    <w:r w:rsidRPr="00BC1ACD">
      <w:rPr>
        <w:rStyle w:val="PageNumber"/>
        <w:sz w:val="16"/>
        <w:szCs w:val="16"/>
      </w:rPr>
      <w:t xml:space="preserve"> of </w:t>
    </w:r>
    <w:r w:rsidRPr="00BC1ACD">
      <w:rPr>
        <w:rStyle w:val="PageNumber"/>
        <w:sz w:val="16"/>
        <w:szCs w:val="16"/>
      </w:rPr>
      <w:fldChar w:fldCharType="begin"/>
    </w:r>
    <w:r w:rsidRPr="00BC1ACD">
      <w:rPr>
        <w:rStyle w:val="PageNumber"/>
        <w:sz w:val="16"/>
        <w:szCs w:val="16"/>
      </w:rPr>
      <w:instrText xml:space="preserve"> NUMPAGES  \* Arabic  \* MERGEFORMAT </w:instrText>
    </w:r>
    <w:r w:rsidRPr="00BC1ACD">
      <w:rPr>
        <w:rStyle w:val="PageNumber"/>
        <w:sz w:val="16"/>
        <w:szCs w:val="16"/>
      </w:rPr>
      <w:fldChar w:fldCharType="separate"/>
    </w:r>
    <w:r w:rsidRPr="00BC1ACD">
      <w:rPr>
        <w:rStyle w:val="PageNumber"/>
        <w:noProof/>
        <w:sz w:val="16"/>
        <w:szCs w:val="16"/>
      </w:rPr>
      <w:t>20</w:t>
    </w:r>
    <w:r w:rsidRPr="00BC1ACD">
      <w:rPr>
        <w:rStyle w:val="PageNumber"/>
        <w:sz w:val="16"/>
        <w:szCs w:val="16"/>
      </w:rPr>
      <w:fldChar w:fldCharType="end"/>
    </w:r>
  </w:p>
  <w:p w14:paraId="66344FD8" w14:textId="3C8D04A7" w:rsidR="00D83A65" w:rsidRPr="00BC1ACD" w:rsidRDefault="00D83A65" w:rsidP="00BC1ACD">
    <w:pPr>
      <w:pStyle w:val="Footer"/>
      <w:pBdr>
        <w:top w:val="single" w:sz="4" w:space="1" w:color="auto"/>
      </w:pBdr>
      <w:spacing w:after="0"/>
      <w:jc w:val="right"/>
      <w:rPr>
        <w:rStyle w:val="PageNumber"/>
        <w:sz w:val="16"/>
        <w:szCs w:val="16"/>
      </w:rPr>
    </w:pPr>
    <w:r w:rsidRPr="00BC1ACD">
      <w:rPr>
        <w:rStyle w:val="PageNumber"/>
        <w:sz w:val="16"/>
        <w:szCs w:val="16"/>
      </w:rPr>
      <w:t>Revised: September 2020</w:t>
    </w:r>
  </w:p>
  <w:p w14:paraId="7DB93AC4" w14:textId="77777777" w:rsidR="00D83A65" w:rsidRPr="00AB1FF2" w:rsidRDefault="00D83A65" w:rsidP="00FB6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507C" w14:textId="77777777" w:rsidR="00D83A65" w:rsidRPr="004E5F63" w:rsidRDefault="00D83A65" w:rsidP="004E5F63">
    <w:pPr>
      <w:pStyle w:val="Footer"/>
      <w:pBdr>
        <w:top w:val="single" w:sz="4" w:space="1" w:color="auto"/>
      </w:pBdr>
      <w:spacing w:after="0"/>
      <w:jc w:val="right"/>
      <w:rPr>
        <w:rStyle w:val="PageNumber"/>
        <w:sz w:val="16"/>
        <w:szCs w:val="16"/>
      </w:rPr>
    </w:pPr>
    <w:r w:rsidRPr="004E5F63">
      <w:rPr>
        <w:rStyle w:val="PageNumber"/>
        <w:sz w:val="16"/>
        <w:szCs w:val="16"/>
      </w:rPr>
      <w:fldChar w:fldCharType="begin"/>
    </w:r>
    <w:r w:rsidRPr="004E5F63">
      <w:rPr>
        <w:rStyle w:val="PageNumber"/>
        <w:sz w:val="16"/>
        <w:szCs w:val="16"/>
      </w:rPr>
      <w:instrText xml:space="preserve">PAGE  </w:instrText>
    </w:r>
    <w:r w:rsidRPr="004E5F63">
      <w:rPr>
        <w:rStyle w:val="PageNumber"/>
        <w:sz w:val="16"/>
        <w:szCs w:val="16"/>
      </w:rPr>
      <w:fldChar w:fldCharType="separate"/>
    </w:r>
    <w:r>
      <w:rPr>
        <w:rStyle w:val="PageNumber"/>
        <w:sz w:val="16"/>
        <w:szCs w:val="16"/>
      </w:rPr>
      <w:t>2</w:t>
    </w:r>
    <w:r w:rsidRPr="004E5F63">
      <w:rPr>
        <w:rStyle w:val="PageNumber"/>
        <w:sz w:val="16"/>
        <w:szCs w:val="16"/>
      </w:rPr>
      <w:fldChar w:fldCharType="end"/>
    </w:r>
    <w:r w:rsidRPr="004E5F63">
      <w:rPr>
        <w:rStyle w:val="PageNumber"/>
        <w:sz w:val="16"/>
        <w:szCs w:val="16"/>
      </w:rPr>
      <w:t xml:space="preserve"> of </w:t>
    </w:r>
    <w:r w:rsidRPr="004E5F63">
      <w:rPr>
        <w:rStyle w:val="PageNumber"/>
        <w:sz w:val="16"/>
        <w:szCs w:val="16"/>
      </w:rPr>
      <w:fldChar w:fldCharType="begin"/>
    </w:r>
    <w:r w:rsidRPr="004E5F63">
      <w:rPr>
        <w:rStyle w:val="PageNumber"/>
        <w:sz w:val="16"/>
        <w:szCs w:val="16"/>
      </w:rPr>
      <w:instrText xml:space="preserve"> NUMPAGES  \* Arabic  \* MERGEFORMAT </w:instrText>
    </w:r>
    <w:r w:rsidRPr="004E5F63">
      <w:rPr>
        <w:rStyle w:val="PageNumber"/>
        <w:sz w:val="16"/>
        <w:szCs w:val="16"/>
      </w:rPr>
      <w:fldChar w:fldCharType="separate"/>
    </w:r>
    <w:r>
      <w:rPr>
        <w:rStyle w:val="PageNumber"/>
        <w:sz w:val="16"/>
        <w:szCs w:val="16"/>
      </w:rPr>
      <w:t>20</w:t>
    </w:r>
    <w:r w:rsidRPr="004E5F63">
      <w:rPr>
        <w:rStyle w:val="PageNumber"/>
        <w:sz w:val="16"/>
        <w:szCs w:val="16"/>
      </w:rPr>
      <w:fldChar w:fldCharType="end"/>
    </w:r>
  </w:p>
  <w:p w14:paraId="2B499AFD" w14:textId="77777777" w:rsidR="00D83A65" w:rsidRPr="004E5F63" w:rsidRDefault="00D83A65" w:rsidP="004E5F63">
    <w:pPr>
      <w:pStyle w:val="Footer"/>
      <w:pBdr>
        <w:top w:val="single" w:sz="4" w:space="1" w:color="auto"/>
      </w:pBdr>
      <w:spacing w:after="0"/>
      <w:jc w:val="right"/>
      <w:rPr>
        <w:rStyle w:val="PageNumber"/>
        <w:sz w:val="16"/>
        <w:szCs w:val="16"/>
      </w:rPr>
    </w:pPr>
    <w:r w:rsidRPr="004E5F63">
      <w:rPr>
        <w:rStyle w:val="PageNumber"/>
        <w:sz w:val="16"/>
        <w:szCs w:val="16"/>
      </w:rPr>
      <w:t>Revised: September 2020</w:t>
    </w:r>
  </w:p>
  <w:p w14:paraId="100A3381" w14:textId="77777777" w:rsidR="00D83A65" w:rsidRDefault="00D83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BCAA" w14:textId="77777777" w:rsidR="00D83A65" w:rsidRDefault="00D83A65" w:rsidP="00FB67FF">
      <w:r>
        <w:separator/>
      </w:r>
    </w:p>
  </w:footnote>
  <w:footnote w:type="continuationSeparator" w:id="0">
    <w:p w14:paraId="322A1EC3" w14:textId="77777777" w:rsidR="00D83A65" w:rsidRDefault="00D83A65" w:rsidP="00FB6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D2A55A"/>
    <w:lvl w:ilvl="0">
      <w:start w:val="1"/>
      <w:numFmt w:val="bullet"/>
      <w:pStyle w:val="ListBullet"/>
      <w:lvlText w:val=""/>
      <w:lvlJc w:val="left"/>
      <w:pPr>
        <w:tabs>
          <w:tab w:val="num" w:pos="907"/>
        </w:tabs>
        <w:ind w:left="907" w:hanging="360"/>
      </w:pPr>
      <w:rPr>
        <w:rFonts w:ascii="Wingdings" w:hAnsi="Wingdings" w:hint="default"/>
        <w:color w:val="000000"/>
        <w:sz w:val="16"/>
        <w:szCs w:val="16"/>
      </w:rPr>
    </w:lvl>
  </w:abstractNum>
  <w:abstractNum w:abstractNumId="1" w15:restartNumberingAfterBreak="0">
    <w:nsid w:val="048104F0"/>
    <w:multiLevelType w:val="hybridMultilevel"/>
    <w:tmpl w:val="1AB02388"/>
    <w:lvl w:ilvl="0" w:tplc="FAC287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1575"/>
    <w:multiLevelType w:val="hybridMultilevel"/>
    <w:tmpl w:val="C5E68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4691D"/>
    <w:multiLevelType w:val="hybridMultilevel"/>
    <w:tmpl w:val="3CF25E3C"/>
    <w:lvl w:ilvl="0" w:tplc="10090005">
      <w:start w:val="1"/>
      <w:numFmt w:val="bullet"/>
      <w:lvlText w:val=""/>
      <w:lvlJc w:val="left"/>
      <w:pPr>
        <w:ind w:left="684" w:hanging="360"/>
      </w:pPr>
      <w:rPr>
        <w:rFonts w:ascii="Wingdings" w:hAnsi="Wingdings" w:hint="default"/>
      </w:rPr>
    </w:lvl>
    <w:lvl w:ilvl="1" w:tplc="10090019">
      <w:start w:val="1"/>
      <w:numFmt w:val="lowerLetter"/>
      <w:lvlText w:val="%2."/>
      <w:lvlJc w:val="left"/>
      <w:pPr>
        <w:ind w:left="1404" w:hanging="360"/>
      </w:pPr>
    </w:lvl>
    <w:lvl w:ilvl="2" w:tplc="1009001B" w:tentative="1">
      <w:start w:val="1"/>
      <w:numFmt w:val="lowerRoman"/>
      <w:lvlText w:val="%3."/>
      <w:lvlJc w:val="right"/>
      <w:pPr>
        <w:ind w:left="2124" w:hanging="180"/>
      </w:pPr>
    </w:lvl>
    <w:lvl w:ilvl="3" w:tplc="1009000F" w:tentative="1">
      <w:start w:val="1"/>
      <w:numFmt w:val="decimal"/>
      <w:lvlText w:val="%4."/>
      <w:lvlJc w:val="left"/>
      <w:pPr>
        <w:ind w:left="2844" w:hanging="360"/>
      </w:pPr>
    </w:lvl>
    <w:lvl w:ilvl="4" w:tplc="10090019" w:tentative="1">
      <w:start w:val="1"/>
      <w:numFmt w:val="lowerLetter"/>
      <w:lvlText w:val="%5."/>
      <w:lvlJc w:val="left"/>
      <w:pPr>
        <w:ind w:left="3564" w:hanging="360"/>
      </w:pPr>
    </w:lvl>
    <w:lvl w:ilvl="5" w:tplc="1009001B" w:tentative="1">
      <w:start w:val="1"/>
      <w:numFmt w:val="lowerRoman"/>
      <w:lvlText w:val="%6."/>
      <w:lvlJc w:val="right"/>
      <w:pPr>
        <w:ind w:left="4284" w:hanging="180"/>
      </w:pPr>
    </w:lvl>
    <w:lvl w:ilvl="6" w:tplc="1009000F" w:tentative="1">
      <w:start w:val="1"/>
      <w:numFmt w:val="decimal"/>
      <w:lvlText w:val="%7."/>
      <w:lvlJc w:val="left"/>
      <w:pPr>
        <w:ind w:left="5004" w:hanging="360"/>
      </w:pPr>
    </w:lvl>
    <w:lvl w:ilvl="7" w:tplc="10090019" w:tentative="1">
      <w:start w:val="1"/>
      <w:numFmt w:val="lowerLetter"/>
      <w:lvlText w:val="%8."/>
      <w:lvlJc w:val="left"/>
      <w:pPr>
        <w:ind w:left="5724" w:hanging="360"/>
      </w:pPr>
    </w:lvl>
    <w:lvl w:ilvl="8" w:tplc="1009001B" w:tentative="1">
      <w:start w:val="1"/>
      <w:numFmt w:val="lowerRoman"/>
      <w:lvlText w:val="%9."/>
      <w:lvlJc w:val="right"/>
      <w:pPr>
        <w:ind w:left="6444" w:hanging="180"/>
      </w:pPr>
    </w:lvl>
  </w:abstractNum>
  <w:abstractNum w:abstractNumId="4" w15:restartNumberingAfterBreak="0">
    <w:nsid w:val="0F0856BA"/>
    <w:multiLevelType w:val="hybridMultilevel"/>
    <w:tmpl w:val="40A2E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92437"/>
    <w:multiLevelType w:val="multilevel"/>
    <w:tmpl w:val="DC88FB26"/>
    <w:lvl w:ilvl="0">
      <w:start w:val="5"/>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26A15B4"/>
    <w:multiLevelType w:val="hybridMultilevel"/>
    <w:tmpl w:val="CABC28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76902"/>
    <w:multiLevelType w:val="hybridMultilevel"/>
    <w:tmpl w:val="8B6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9629F"/>
    <w:multiLevelType w:val="hybridMultilevel"/>
    <w:tmpl w:val="85D00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45256"/>
    <w:multiLevelType w:val="hybridMultilevel"/>
    <w:tmpl w:val="1930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A452F"/>
    <w:multiLevelType w:val="hybridMultilevel"/>
    <w:tmpl w:val="B73C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C11F0"/>
    <w:multiLevelType w:val="hybridMultilevel"/>
    <w:tmpl w:val="AE98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A0083"/>
    <w:multiLevelType w:val="hybridMultilevel"/>
    <w:tmpl w:val="48929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85F69"/>
    <w:multiLevelType w:val="hybridMultilevel"/>
    <w:tmpl w:val="F7CE40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422FF4"/>
    <w:multiLevelType w:val="hybridMultilevel"/>
    <w:tmpl w:val="096A7284"/>
    <w:lvl w:ilvl="0" w:tplc="C04476DA">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8147D"/>
    <w:multiLevelType w:val="hybridMultilevel"/>
    <w:tmpl w:val="7A3E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E6EB4"/>
    <w:multiLevelType w:val="hybridMultilevel"/>
    <w:tmpl w:val="AD0AF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73E5C"/>
    <w:multiLevelType w:val="hybridMultilevel"/>
    <w:tmpl w:val="FF50390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357E62"/>
    <w:multiLevelType w:val="hybridMultilevel"/>
    <w:tmpl w:val="990AAC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ACE3F26"/>
    <w:multiLevelType w:val="hybridMultilevel"/>
    <w:tmpl w:val="4386DC84"/>
    <w:lvl w:ilvl="0" w:tplc="6F1C0EA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13300"/>
    <w:multiLevelType w:val="hybridMultilevel"/>
    <w:tmpl w:val="812E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20D5B"/>
    <w:multiLevelType w:val="hybridMultilevel"/>
    <w:tmpl w:val="0940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94E19"/>
    <w:multiLevelType w:val="hybridMultilevel"/>
    <w:tmpl w:val="8FF8C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6932980"/>
    <w:multiLevelType w:val="hybridMultilevel"/>
    <w:tmpl w:val="840A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F0F3D"/>
    <w:multiLevelType w:val="hybridMultilevel"/>
    <w:tmpl w:val="000E91F0"/>
    <w:lvl w:ilvl="0" w:tplc="2562AE80">
      <w:start w:val="1"/>
      <w:numFmt w:val="decimal"/>
      <w:lvlText w:val="%1."/>
      <w:lvlJc w:val="left"/>
      <w:pPr>
        <w:ind w:left="720" w:hanging="360"/>
      </w:pPr>
      <w:rPr>
        <w:rFonts w:ascii="Trebuchet MS" w:hAnsi="Trebuchet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8555AE"/>
    <w:multiLevelType w:val="hybridMultilevel"/>
    <w:tmpl w:val="7F22B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83C8B"/>
    <w:multiLevelType w:val="hybridMultilevel"/>
    <w:tmpl w:val="C8DE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F32EB"/>
    <w:multiLevelType w:val="hybridMultilevel"/>
    <w:tmpl w:val="2DB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93996"/>
    <w:multiLevelType w:val="hybridMultilevel"/>
    <w:tmpl w:val="017A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A320A"/>
    <w:multiLevelType w:val="hybridMultilevel"/>
    <w:tmpl w:val="4ABE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2586A"/>
    <w:multiLevelType w:val="hybridMultilevel"/>
    <w:tmpl w:val="46D858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70027"/>
    <w:multiLevelType w:val="hybridMultilevel"/>
    <w:tmpl w:val="F2761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A417A"/>
    <w:multiLevelType w:val="hybridMultilevel"/>
    <w:tmpl w:val="B1941824"/>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9576DCD"/>
    <w:multiLevelType w:val="hybridMultilevel"/>
    <w:tmpl w:val="34EA61D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04024B0"/>
    <w:multiLevelType w:val="hybridMultilevel"/>
    <w:tmpl w:val="7CFA1D72"/>
    <w:lvl w:ilvl="0" w:tplc="10090005">
      <w:start w:val="1"/>
      <w:numFmt w:val="bullet"/>
      <w:lvlText w:val=""/>
      <w:lvlJc w:val="left"/>
      <w:pPr>
        <w:ind w:left="1080" w:hanging="72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9A36D3"/>
    <w:multiLevelType w:val="hybridMultilevel"/>
    <w:tmpl w:val="D17E6CA6"/>
    <w:lvl w:ilvl="0" w:tplc="10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6" w15:restartNumberingAfterBreak="0">
    <w:nsid w:val="7CD24A1B"/>
    <w:multiLevelType w:val="hybridMultilevel"/>
    <w:tmpl w:val="CECE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D1752"/>
    <w:multiLevelType w:val="hybridMultilevel"/>
    <w:tmpl w:val="A238CF1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34"/>
  </w:num>
  <w:num w:numId="4">
    <w:abstractNumId w:val="32"/>
  </w:num>
  <w:num w:numId="5">
    <w:abstractNumId w:val="13"/>
  </w:num>
  <w:num w:numId="6">
    <w:abstractNumId w:val="17"/>
  </w:num>
  <w:num w:numId="7">
    <w:abstractNumId w:val="33"/>
  </w:num>
  <w:num w:numId="8">
    <w:abstractNumId w:val="3"/>
  </w:num>
  <w:num w:numId="9">
    <w:abstractNumId w:val="22"/>
  </w:num>
  <w:num w:numId="10">
    <w:abstractNumId w:val="15"/>
  </w:num>
  <w:num w:numId="11">
    <w:abstractNumId w:val="7"/>
  </w:num>
  <w:num w:numId="12">
    <w:abstractNumId w:val="23"/>
  </w:num>
  <w:num w:numId="13">
    <w:abstractNumId w:val="14"/>
  </w:num>
  <w:num w:numId="14">
    <w:abstractNumId w:val="21"/>
  </w:num>
  <w:num w:numId="15">
    <w:abstractNumId w:val="6"/>
  </w:num>
  <w:num w:numId="16">
    <w:abstractNumId w:val="26"/>
  </w:num>
  <w:num w:numId="17">
    <w:abstractNumId w:val="36"/>
  </w:num>
  <w:num w:numId="18">
    <w:abstractNumId w:val="29"/>
  </w:num>
  <w:num w:numId="19">
    <w:abstractNumId w:val="16"/>
  </w:num>
  <w:num w:numId="20">
    <w:abstractNumId w:val="8"/>
  </w:num>
  <w:num w:numId="21">
    <w:abstractNumId w:val="37"/>
  </w:num>
  <w:num w:numId="22">
    <w:abstractNumId w:val="30"/>
  </w:num>
  <w:num w:numId="23">
    <w:abstractNumId w:val="11"/>
  </w:num>
  <w:num w:numId="24">
    <w:abstractNumId w:val="28"/>
  </w:num>
  <w:num w:numId="25">
    <w:abstractNumId w:val="25"/>
  </w:num>
  <w:num w:numId="26">
    <w:abstractNumId w:val="31"/>
  </w:num>
  <w:num w:numId="27">
    <w:abstractNumId w:val="18"/>
  </w:num>
  <w:num w:numId="28">
    <w:abstractNumId w:val="1"/>
  </w:num>
  <w:num w:numId="29">
    <w:abstractNumId w:val="12"/>
  </w:num>
  <w:num w:numId="30">
    <w:abstractNumId w:val="10"/>
  </w:num>
  <w:num w:numId="31">
    <w:abstractNumId w:val="5"/>
  </w:num>
  <w:num w:numId="32">
    <w:abstractNumId w:val="20"/>
  </w:num>
  <w:num w:numId="33">
    <w:abstractNumId w:val="2"/>
  </w:num>
  <w:num w:numId="34">
    <w:abstractNumId w:val="4"/>
  </w:num>
  <w:num w:numId="35">
    <w:abstractNumId w:val="24"/>
  </w:num>
  <w:num w:numId="36">
    <w:abstractNumId w:val="9"/>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AU" w:vendorID="64" w:dllVersion="6" w:nlCheck="1" w:checkStyle="1"/>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916"/>
    <w:rsid w:val="000136E3"/>
    <w:rsid w:val="00013870"/>
    <w:rsid w:val="000221F5"/>
    <w:rsid w:val="00022E68"/>
    <w:rsid w:val="00025469"/>
    <w:rsid w:val="00026FDF"/>
    <w:rsid w:val="000312A9"/>
    <w:rsid w:val="0003326E"/>
    <w:rsid w:val="00033F39"/>
    <w:rsid w:val="0003413C"/>
    <w:rsid w:val="00036F32"/>
    <w:rsid w:val="00050453"/>
    <w:rsid w:val="00050C6F"/>
    <w:rsid w:val="00050DDC"/>
    <w:rsid w:val="0005507F"/>
    <w:rsid w:val="0005782F"/>
    <w:rsid w:val="00063EF1"/>
    <w:rsid w:val="0006448E"/>
    <w:rsid w:val="0006494E"/>
    <w:rsid w:val="00075916"/>
    <w:rsid w:val="000910C9"/>
    <w:rsid w:val="000A68BB"/>
    <w:rsid w:val="000B10C2"/>
    <w:rsid w:val="000C19BF"/>
    <w:rsid w:val="000C78AF"/>
    <w:rsid w:val="000D1EB9"/>
    <w:rsid w:val="000E381A"/>
    <w:rsid w:val="00101822"/>
    <w:rsid w:val="00104766"/>
    <w:rsid w:val="001058FD"/>
    <w:rsid w:val="00121D29"/>
    <w:rsid w:val="001221CB"/>
    <w:rsid w:val="0012792B"/>
    <w:rsid w:val="00144E04"/>
    <w:rsid w:val="001478B2"/>
    <w:rsid w:val="0015702E"/>
    <w:rsid w:val="00175DBE"/>
    <w:rsid w:val="001844D5"/>
    <w:rsid w:val="00184543"/>
    <w:rsid w:val="00184BA8"/>
    <w:rsid w:val="001859DC"/>
    <w:rsid w:val="001A2E03"/>
    <w:rsid w:val="001B2B64"/>
    <w:rsid w:val="001D7C07"/>
    <w:rsid w:val="001E4013"/>
    <w:rsid w:val="001E49B5"/>
    <w:rsid w:val="001F00C1"/>
    <w:rsid w:val="001F5423"/>
    <w:rsid w:val="001F5D7B"/>
    <w:rsid w:val="00201DD2"/>
    <w:rsid w:val="00204920"/>
    <w:rsid w:val="00216FA8"/>
    <w:rsid w:val="00220E1E"/>
    <w:rsid w:val="00221F0D"/>
    <w:rsid w:val="002253D3"/>
    <w:rsid w:val="00226648"/>
    <w:rsid w:val="0023237E"/>
    <w:rsid w:val="0023787B"/>
    <w:rsid w:val="0025356E"/>
    <w:rsid w:val="0025481A"/>
    <w:rsid w:val="00266D81"/>
    <w:rsid w:val="002904B0"/>
    <w:rsid w:val="00290DB6"/>
    <w:rsid w:val="002A3172"/>
    <w:rsid w:val="002A3A3F"/>
    <w:rsid w:val="002A4C63"/>
    <w:rsid w:val="002B411F"/>
    <w:rsid w:val="002C0FD0"/>
    <w:rsid w:val="002C1806"/>
    <w:rsid w:val="002C4D7D"/>
    <w:rsid w:val="002C7FBE"/>
    <w:rsid w:val="002D0C24"/>
    <w:rsid w:val="002D6FC0"/>
    <w:rsid w:val="002E504A"/>
    <w:rsid w:val="002E51D4"/>
    <w:rsid w:val="002E7487"/>
    <w:rsid w:val="002F28E0"/>
    <w:rsid w:val="002F2E0D"/>
    <w:rsid w:val="002F443E"/>
    <w:rsid w:val="003010B4"/>
    <w:rsid w:val="00312371"/>
    <w:rsid w:val="00313292"/>
    <w:rsid w:val="0033049A"/>
    <w:rsid w:val="0033382B"/>
    <w:rsid w:val="00357948"/>
    <w:rsid w:val="00382A95"/>
    <w:rsid w:val="00384376"/>
    <w:rsid w:val="003940D8"/>
    <w:rsid w:val="00395EDF"/>
    <w:rsid w:val="0039666D"/>
    <w:rsid w:val="003968B6"/>
    <w:rsid w:val="00397D4F"/>
    <w:rsid w:val="003B00F7"/>
    <w:rsid w:val="003B3023"/>
    <w:rsid w:val="003B3268"/>
    <w:rsid w:val="003B3BEA"/>
    <w:rsid w:val="003C7641"/>
    <w:rsid w:val="003D67F6"/>
    <w:rsid w:val="003F1F2F"/>
    <w:rsid w:val="003F739D"/>
    <w:rsid w:val="00400579"/>
    <w:rsid w:val="00401B20"/>
    <w:rsid w:val="00402FE2"/>
    <w:rsid w:val="00406095"/>
    <w:rsid w:val="00414862"/>
    <w:rsid w:val="004162F5"/>
    <w:rsid w:val="00416A9D"/>
    <w:rsid w:val="00417247"/>
    <w:rsid w:val="004205C8"/>
    <w:rsid w:val="00421D6B"/>
    <w:rsid w:val="00427DE6"/>
    <w:rsid w:val="004324A2"/>
    <w:rsid w:val="00437F42"/>
    <w:rsid w:val="004517C7"/>
    <w:rsid w:val="00455D95"/>
    <w:rsid w:val="0046367B"/>
    <w:rsid w:val="0046412F"/>
    <w:rsid w:val="004659DF"/>
    <w:rsid w:val="00473E8C"/>
    <w:rsid w:val="00477BB9"/>
    <w:rsid w:val="00480D6C"/>
    <w:rsid w:val="00483AEE"/>
    <w:rsid w:val="00486AB0"/>
    <w:rsid w:val="004873CC"/>
    <w:rsid w:val="004A33FA"/>
    <w:rsid w:val="004A509A"/>
    <w:rsid w:val="004B00F8"/>
    <w:rsid w:val="004B7F54"/>
    <w:rsid w:val="004C55F3"/>
    <w:rsid w:val="004D6191"/>
    <w:rsid w:val="004D7524"/>
    <w:rsid w:val="004E4FCE"/>
    <w:rsid w:val="004E5F63"/>
    <w:rsid w:val="004E609B"/>
    <w:rsid w:val="00514E39"/>
    <w:rsid w:val="005163C9"/>
    <w:rsid w:val="00545A1A"/>
    <w:rsid w:val="00554699"/>
    <w:rsid w:val="005611A4"/>
    <w:rsid w:val="00561B41"/>
    <w:rsid w:val="005632FB"/>
    <w:rsid w:val="00573EAF"/>
    <w:rsid w:val="00581A4A"/>
    <w:rsid w:val="0058613D"/>
    <w:rsid w:val="00592835"/>
    <w:rsid w:val="00596590"/>
    <w:rsid w:val="00596DA7"/>
    <w:rsid w:val="005B1303"/>
    <w:rsid w:val="005C1FF4"/>
    <w:rsid w:val="005C2B6F"/>
    <w:rsid w:val="005C2C67"/>
    <w:rsid w:val="005C55DD"/>
    <w:rsid w:val="005D31F4"/>
    <w:rsid w:val="005E20C5"/>
    <w:rsid w:val="005F7227"/>
    <w:rsid w:val="006045E3"/>
    <w:rsid w:val="00636A6D"/>
    <w:rsid w:val="00641D60"/>
    <w:rsid w:val="00654D45"/>
    <w:rsid w:val="006625CC"/>
    <w:rsid w:val="00664E91"/>
    <w:rsid w:val="006666C0"/>
    <w:rsid w:val="006703E1"/>
    <w:rsid w:val="006810E9"/>
    <w:rsid w:val="00683C5D"/>
    <w:rsid w:val="00686186"/>
    <w:rsid w:val="00686F1C"/>
    <w:rsid w:val="00691417"/>
    <w:rsid w:val="006A292B"/>
    <w:rsid w:val="006A2E52"/>
    <w:rsid w:val="006A6AE4"/>
    <w:rsid w:val="006A6D96"/>
    <w:rsid w:val="006B23DE"/>
    <w:rsid w:val="006B2511"/>
    <w:rsid w:val="006B521D"/>
    <w:rsid w:val="006D29F0"/>
    <w:rsid w:val="006D2BD2"/>
    <w:rsid w:val="006E10B8"/>
    <w:rsid w:val="006E1A08"/>
    <w:rsid w:val="006F3402"/>
    <w:rsid w:val="00702BAF"/>
    <w:rsid w:val="00703E65"/>
    <w:rsid w:val="0070705A"/>
    <w:rsid w:val="00714D04"/>
    <w:rsid w:val="007226F0"/>
    <w:rsid w:val="00724E5F"/>
    <w:rsid w:val="007453A1"/>
    <w:rsid w:val="00747749"/>
    <w:rsid w:val="007658F0"/>
    <w:rsid w:val="007774DB"/>
    <w:rsid w:val="00780A88"/>
    <w:rsid w:val="00782BD3"/>
    <w:rsid w:val="007847DD"/>
    <w:rsid w:val="0078772D"/>
    <w:rsid w:val="00796985"/>
    <w:rsid w:val="00797AC5"/>
    <w:rsid w:val="007A4836"/>
    <w:rsid w:val="007A654A"/>
    <w:rsid w:val="007A7FE8"/>
    <w:rsid w:val="007B0425"/>
    <w:rsid w:val="007B230E"/>
    <w:rsid w:val="007D4364"/>
    <w:rsid w:val="007D552F"/>
    <w:rsid w:val="007E62C2"/>
    <w:rsid w:val="007F5E11"/>
    <w:rsid w:val="0080367D"/>
    <w:rsid w:val="00803D78"/>
    <w:rsid w:val="00803DAB"/>
    <w:rsid w:val="0080720C"/>
    <w:rsid w:val="00815983"/>
    <w:rsid w:val="008218B0"/>
    <w:rsid w:val="00832E8B"/>
    <w:rsid w:val="00833814"/>
    <w:rsid w:val="00834EB4"/>
    <w:rsid w:val="0085240B"/>
    <w:rsid w:val="00863692"/>
    <w:rsid w:val="00866D3D"/>
    <w:rsid w:val="008705CA"/>
    <w:rsid w:val="0087558C"/>
    <w:rsid w:val="00881714"/>
    <w:rsid w:val="00890CA9"/>
    <w:rsid w:val="00892DB6"/>
    <w:rsid w:val="008951CA"/>
    <w:rsid w:val="00895FCB"/>
    <w:rsid w:val="008962C0"/>
    <w:rsid w:val="00897DA7"/>
    <w:rsid w:val="008A1827"/>
    <w:rsid w:val="008A370A"/>
    <w:rsid w:val="008A6EF3"/>
    <w:rsid w:val="008B16DE"/>
    <w:rsid w:val="008B6AD8"/>
    <w:rsid w:val="008C0700"/>
    <w:rsid w:val="008D2D95"/>
    <w:rsid w:val="008E0836"/>
    <w:rsid w:val="008E4470"/>
    <w:rsid w:val="008E550B"/>
    <w:rsid w:val="008F4057"/>
    <w:rsid w:val="00905F68"/>
    <w:rsid w:val="00912A15"/>
    <w:rsid w:val="00913285"/>
    <w:rsid w:val="00915B68"/>
    <w:rsid w:val="00920001"/>
    <w:rsid w:val="009231FB"/>
    <w:rsid w:val="00934687"/>
    <w:rsid w:val="00940D8C"/>
    <w:rsid w:val="00941D68"/>
    <w:rsid w:val="00942B77"/>
    <w:rsid w:val="009433BC"/>
    <w:rsid w:val="00943836"/>
    <w:rsid w:val="00945210"/>
    <w:rsid w:val="00950A4F"/>
    <w:rsid w:val="00964BC0"/>
    <w:rsid w:val="009654D8"/>
    <w:rsid w:val="00971F49"/>
    <w:rsid w:val="00974FC7"/>
    <w:rsid w:val="00985EDE"/>
    <w:rsid w:val="00986637"/>
    <w:rsid w:val="00990DA4"/>
    <w:rsid w:val="00990F0B"/>
    <w:rsid w:val="00997CD0"/>
    <w:rsid w:val="009B35BA"/>
    <w:rsid w:val="009C2AD0"/>
    <w:rsid w:val="009C33E5"/>
    <w:rsid w:val="009C691B"/>
    <w:rsid w:val="009D708F"/>
    <w:rsid w:val="009E1CEA"/>
    <w:rsid w:val="009E37D4"/>
    <w:rsid w:val="009E4406"/>
    <w:rsid w:val="009F2BFD"/>
    <w:rsid w:val="009F7EFA"/>
    <w:rsid w:val="00A03F0A"/>
    <w:rsid w:val="00A04DA2"/>
    <w:rsid w:val="00A05A95"/>
    <w:rsid w:val="00A06748"/>
    <w:rsid w:val="00A0701D"/>
    <w:rsid w:val="00A2144D"/>
    <w:rsid w:val="00A311EC"/>
    <w:rsid w:val="00A35B99"/>
    <w:rsid w:val="00A46087"/>
    <w:rsid w:val="00A466F5"/>
    <w:rsid w:val="00A55507"/>
    <w:rsid w:val="00A56315"/>
    <w:rsid w:val="00A62211"/>
    <w:rsid w:val="00A63F9E"/>
    <w:rsid w:val="00A820D2"/>
    <w:rsid w:val="00A85B40"/>
    <w:rsid w:val="00A86657"/>
    <w:rsid w:val="00A94FE1"/>
    <w:rsid w:val="00AB0F7F"/>
    <w:rsid w:val="00AB5608"/>
    <w:rsid w:val="00AC3D12"/>
    <w:rsid w:val="00AC50A9"/>
    <w:rsid w:val="00AC702A"/>
    <w:rsid w:val="00AD3BA4"/>
    <w:rsid w:val="00AD54B8"/>
    <w:rsid w:val="00AD5683"/>
    <w:rsid w:val="00AD6A6F"/>
    <w:rsid w:val="00AE32F5"/>
    <w:rsid w:val="00AF2AD8"/>
    <w:rsid w:val="00AF4FD7"/>
    <w:rsid w:val="00B00AC8"/>
    <w:rsid w:val="00B04CDF"/>
    <w:rsid w:val="00B059E0"/>
    <w:rsid w:val="00B075EE"/>
    <w:rsid w:val="00B1128F"/>
    <w:rsid w:val="00B12B73"/>
    <w:rsid w:val="00B17F88"/>
    <w:rsid w:val="00B2006D"/>
    <w:rsid w:val="00B27B7A"/>
    <w:rsid w:val="00B37ACD"/>
    <w:rsid w:val="00B462E2"/>
    <w:rsid w:val="00B47D34"/>
    <w:rsid w:val="00B54B15"/>
    <w:rsid w:val="00B607EF"/>
    <w:rsid w:val="00B6437E"/>
    <w:rsid w:val="00B64F59"/>
    <w:rsid w:val="00B74DD7"/>
    <w:rsid w:val="00B76B2B"/>
    <w:rsid w:val="00B81968"/>
    <w:rsid w:val="00B97E4D"/>
    <w:rsid w:val="00BB0D16"/>
    <w:rsid w:val="00BB1143"/>
    <w:rsid w:val="00BB71F5"/>
    <w:rsid w:val="00BC1863"/>
    <w:rsid w:val="00BC1ACD"/>
    <w:rsid w:val="00BC24FA"/>
    <w:rsid w:val="00BC3BD3"/>
    <w:rsid w:val="00BC5DEF"/>
    <w:rsid w:val="00BC7852"/>
    <w:rsid w:val="00BD4B22"/>
    <w:rsid w:val="00BE3ED7"/>
    <w:rsid w:val="00BE4729"/>
    <w:rsid w:val="00BF293E"/>
    <w:rsid w:val="00BF5EC7"/>
    <w:rsid w:val="00C015C5"/>
    <w:rsid w:val="00C063C6"/>
    <w:rsid w:val="00C07643"/>
    <w:rsid w:val="00C165F5"/>
    <w:rsid w:val="00C22595"/>
    <w:rsid w:val="00C27B56"/>
    <w:rsid w:val="00C3400B"/>
    <w:rsid w:val="00C37246"/>
    <w:rsid w:val="00C40471"/>
    <w:rsid w:val="00C466FA"/>
    <w:rsid w:val="00C52400"/>
    <w:rsid w:val="00C555BF"/>
    <w:rsid w:val="00C56996"/>
    <w:rsid w:val="00C5716C"/>
    <w:rsid w:val="00C57EA0"/>
    <w:rsid w:val="00C602CB"/>
    <w:rsid w:val="00C60DD8"/>
    <w:rsid w:val="00C7126E"/>
    <w:rsid w:val="00C754CC"/>
    <w:rsid w:val="00C76BD0"/>
    <w:rsid w:val="00C77733"/>
    <w:rsid w:val="00C85EDD"/>
    <w:rsid w:val="00C86024"/>
    <w:rsid w:val="00C864D7"/>
    <w:rsid w:val="00C925EB"/>
    <w:rsid w:val="00C944C5"/>
    <w:rsid w:val="00CA586F"/>
    <w:rsid w:val="00CA654A"/>
    <w:rsid w:val="00CB15F5"/>
    <w:rsid w:val="00CB53A7"/>
    <w:rsid w:val="00CC5E49"/>
    <w:rsid w:val="00CD0ABD"/>
    <w:rsid w:val="00CE1C7D"/>
    <w:rsid w:val="00CF1EC4"/>
    <w:rsid w:val="00CF58DF"/>
    <w:rsid w:val="00CF7F40"/>
    <w:rsid w:val="00D023BD"/>
    <w:rsid w:val="00D045F0"/>
    <w:rsid w:val="00D10C34"/>
    <w:rsid w:val="00D11159"/>
    <w:rsid w:val="00D1318F"/>
    <w:rsid w:val="00D221C4"/>
    <w:rsid w:val="00D22C46"/>
    <w:rsid w:val="00D31C7D"/>
    <w:rsid w:val="00D33A25"/>
    <w:rsid w:val="00D417BF"/>
    <w:rsid w:val="00D44016"/>
    <w:rsid w:val="00D47749"/>
    <w:rsid w:val="00D47990"/>
    <w:rsid w:val="00D5740A"/>
    <w:rsid w:val="00D73F04"/>
    <w:rsid w:val="00D75AAA"/>
    <w:rsid w:val="00D80878"/>
    <w:rsid w:val="00D83A65"/>
    <w:rsid w:val="00D86677"/>
    <w:rsid w:val="00D90DD1"/>
    <w:rsid w:val="00D92ABD"/>
    <w:rsid w:val="00D96438"/>
    <w:rsid w:val="00D9672D"/>
    <w:rsid w:val="00DA0ADA"/>
    <w:rsid w:val="00DA1DD4"/>
    <w:rsid w:val="00DA29B9"/>
    <w:rsid w:val="00DA313D"/>
    <w:rsid w:val="00DB0DB7"/>
    <w:rsid w:val="00DB1864"/>
    <w:rsid w:val="00DB299B"/>
    <w:rsid w:val="00DB5404"/>
    <w:rsid w:val="00DD7EF5"/>
    <w:rsid w:val="00DE01FB"/>
    <w:rsid w:val="00DE08D2"/>
    <w:rsid w:val="00DE4494"/>
    <w:rsid w:val="00DF0258"/>
    <w:rsid w:val="00DF1220"/>
    <w:rsid w:val="00DF4D8A"/>
    <w:rsid w:val="00E02AEC"/>
    <w:rsid w:val="00E155FD"/>
    <w:rsid w:val="00E15D0C"/>
    <w:rsid w:val="00E16AD8"/>
    <w:rsid w:val="00E20A99"/>
    <w:rsid w:val="00E22AE8"/>
    <w:rsid w:val="00E231E6"/>
    <w:rsid w:val="00E275A0"/>
    <w:rsid w:val="00E32942"/>
    <w:rsid w:val="00E50133"/>
    <w:rsid w:val="00E542A4"/>
    <w:rsid w:val="00E66BCF"/>
    <w:rsid w:val="00E713D1"/>
    <w:rsid w:val="00E82E92"/>
    <w:rsid w:val="00E839AD"/>
    <w:rsid w:val="00E8519B"/>
    <w:rsid w:val="00E87E55"/>
    <w:rsid w:val="00EA1A64"/>
    <w:rsid w:val="00EA4B00"/>
    <w:rsid w:val="00EA7AD5"/>
    <w:rsid w:val="00EB3891"/>
    <w:rsid w:val="00EB7EF0"/>
    <w:rsid w:val="00ED528B"/>
    <w:rsid w:val="00ED639D"/>
    <w:rsid w:val="00ED64D8"/>
    <w:rsid w:val="00EF6660"/>
    <w:rsid w:val="00F04230"/>
    <w:rsid w:val="00F15A3A"/>
    <w:rsid w:val="00F228C5"/>
    <w:rsid w:val="00F25B11"/>
    <w:rsid w:val="00F31C91"/>
    <w:rsid w:val="00F323D4"/>
    <w:rsid w:val="00F32423"/>
    <w:rsid w:val="00F33610"/>
    <w:rsid w:val="00F42BBD"/>
    <w:rsid w:val="00F505B1"/>
    <w:rsid w:val="00F602C9"/>
    <w:rsid w:val="00F6355C"/>
    <w:rsid w:val="00F75619"/>
    <w:rsid w:val="00F772E6"/>
    <w:rsid w:val="00F82123"/>
    <w:rsid w:val="00F85BBE"/>
    <w:rsid w:val="00F91287"/>
    <w:rsid w:val="00F9378B"/>
    <w:rsid w:val="00F95EA0"/>
    <w:rsid w:val="00FA680E"/>
    <w:rsid w:val="00FA692D"/>
    <w:rsid w:val="00FB1937"/>
    <w:rsid w:val="00FB2F23"/>
    <w:rsid w:val="00FB67FF"/>
    <w:rsid w:val="00FC0A07"/>
    <w:rsid w:val="00FC402C"/>
    <w:rsid w:val="00FC51FA"/>
    <w:rsid w:val="00FD4984"/>
    <w:rsid w:val="00FD7815"/>
    <w:rsid w:val="00FE6739"/>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37F23F"/>
  <w15:chartTrackingRefBased/>
  <w15:docId w15:val="{AE4C59C7-ED5F-474C-9AF0-4559DCF1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7FF"/>
    <w:rPr>
      <w:rFonts w:ascii="Trebuchet MS" w:eastAsia="Times New Roman" w:hAnsi="Trebuchet MS" w:cs="Arial"/>
      <w:bCs/>
      <w:iCs/>
    </w:rPr>
  </w:style>
  <w:style w:type="paragraph" w:styleId="Heading1">
    <w:name w:val="heading 1"/>
    <w:basedOn w:val="Heading2"/>
    <w:next w:val="Normal"/>
    <w:link w:val="Heading1Char"/>
    <w:uiPriority w:val="9"/>
    <w:qFormat/>
    <w:rsid w:val="00FB67FF"/>
    <w:pPr>
      <w:keepNext w:val="0"/>
      <w:keepLines w:val="0"/>
      <w:spacing w:before="100" w:beforeAutospacing="1" w:after="100" w:afterAutospacing="1" w:line="240" w:lineRule="auto"/>
      <w:outlineLvl w:val="0"/>
    </w:pPr>
    <w:rPr>
      <w:rFonts w:eastAsia="Times New Roman" w:cs="Arial"/>
      <w:b w:val="0"/>
      <w:i/>
      <w:color w:val="003300"/>
      <w:sz w:val="36"/>
      <w:szCs w:val="36"/>
    </w:rPr>
  </w:style>
  <w:style w:type="paragraph" w:styleId="Heading2">
    <w:name w:val="heading 2"/>
    <w:basedOn w:val="Normal"/>
    <w:next w:val="Normal"/>
    <w:link w:val="Heading2Char"/>
    <w:unhideWhenUsed/>
    <w:qFormat/>
    <w:rsid w:val="00FB67FF"/>
    <w:pPr>
      <w:keepNext/>
      <w:keepLines/>
      <w:spacing w:before="40" w:after="0"/>
      <w:outlineLvl w:val="1"/>
    </w:pPr>
    <w:rPr>
      <w:rFonts w:eastAsiaTheme="majorEastAsia"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FB67FF"/>
    <w:pPr>
      <w:keepNext/>
      <w:keepLines/>
      <w:spacing w:before="40" w:after="120"/>
      <w:outlineLvl w:val="2"/>
    </w:pPr>
    <w:rPr>
      <w:rFonts w:eastAsiaTheme="majorEastAsia"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FB67FF"/>
    <w:pPr>
      <w:keepNext/>
      <w:keepLines/>
      <w:spacing w:before="40" w:after="0"/>
      <w:outlineLvl w:val="3"/>
    </w:pPr>
    <w:rPr>
      <w:rFonts w:asciiTheme="majorHAnsi" w:eastAsiaTheme="majorEastAsia" w:hAnsiTheme="majorHAnsi" w:cstheme="majorBidi"/>
      <w:i/>
      <w:iCs w:val="0"/>
      <w:color w:val="404040" w:themeColor="text1" w:themeTint="BF"/>
    </w:rPr>
  </w:style>
  <w:style w:type="paragraph" w:styleId="Heading5">
    <w:name w:val="heading 5"/>
    <w:basedOn w:val="Normal"/>
    <w:next w:val="Normal"/>
    <w:link w:val="Heading5Char"/>
    <w:uiPriority w:val="9"/>
    <w:semiHidden/>
    <w:unhideWhenUsed/>
    <w:qFormat/>
    <w:rsid w:val="00FB67FF"/>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B67FF"/>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B67FF"/>
    <w:pPr>
      <w:keepNext/>
      <w:keepLines/>
      <w:spacing w:before="40" w:after="0"/>
      <w:outlineLvl w:val="6"/>
    </w:pPr>
    <w:rPr>
      <w:rFonts w:asciiTheme="majorHAnsi" w:eastAsiaTheme="majorEastAsia" w:hAnsiTheme="majorHAnsi" w:cstheme="majorBidi"/>
      <w:i/>
      <w:iCs w:val="0"/>
    </w:rPr>
  </w:style>
  <w:style w:type="paragraph" w:styleId="Heading8">
    <w:name w:val="heading 8"/>
    <w:basedOn w:val="Normal"/>
    <w:next w:val="Normal"/>
    <w:link w:val="Heading8Char"/>
    <w:uiPriority w:val="9"/>
    <w:semiHidden/>
    <w:unhideWhenUsed/>
    <w:qFormat/>
    <w:rsid w:val="00FB67F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B67FF"/>
    <w:pPr>
      <w:keepNext/>
      <w:keepLines/>
      <w:spacing w:before="40" w:after="0"/>
      <w:outlineLvl w:val="8"/>
    </w:pPr>
    <w:rPr>
      <w:rFonts w:asciiTheme="majorHAnsi" w:eastAsiaTheme="majorEastAsia" w:hAnsiTheme="majorHAnsi" w:cstheme="majorBidi"/>
      <w:i/>
      <w:iCs w:val="0"/>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67FF"/>
    <w:rPr>
      <w:rFonts w:ascii="Trebuchet MS" w:eastAsiaTheme="majorEastAsia" w:hAnsi="Trebuchet MS" w:cstheme="majorBidi"/>
      <w:b/>
      <w:bCs/>
      <w:iCs/>
      <w:color w:val="262626" w:themeColor="text1" w:themeTint="D9"/>
      <w:sz w:val="28"/>
      <w:szCs w:val="28"/>
    </w:rPr>
  </w:style>
  <w:style w:type="character" w:styleId="Hyperlink">
    <w:name w:val="Hyperlink"/>
    <w:basedOn w:val="DefaultParagraphFont"/>
    <w:rsid w:val="00075916"/>
    <w:rPr>
      <w:color w:val="0000FF"/>
      <w:u w:val="single"/>
    </w:rPr>
  </w:style>
  <w:style w:type="paragraph" w:styleId="Header">
    <w:name w:val="header"/>
    <w:basedOn w:val="Normal"/>
    <w:link w:val="HeaderChar"/>
    <w:rsid w:val="00075916"/>
    <w:pPr>
      <w:tabs>
        <w:tab w:val="center" w:pos="4320"/>
        <w:tab w:val="right" w:pos="8640"/>
      </w:tabs>
    </w:pPr>
  </w:style>
  <w:style w:type="character" w:customStyle="1" w:styleId="HeaderChar">
    <w:name w:val="Header Char"/>
    <w:basedOn w:val="DefaultParagraphFont"/>
    <w:link w:val="Header"/>
    <w:rsid w:val="00075916"/>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rsid w:val="00075916"/>
    <w:pPr>
      <w:tabs>
        <w:tab w:val="center" w:pos="4320"/>
        <w:tab w:val="right" w:pos="8640"/>
      </w:tabs>
    </w:pPr>
  </w:style>
  <w:style w:type="character" w:customStyle="1" w:styleId="FooterChar">
    <w:name w:val="Footer Char"/>
    <w:basedOn w:val="DefaultParagraphFont"/>
    <w:link w:val="Footer"/>
    <w:uiPriority w:val="99"/>
    <w:rsid w:val="00075916"/>
    <w:rPr>
      <w:rFonts w:ascii="Times New Roman" w:eastAsia="Times New Roman" w:hAnsi="Times New Roman" w:cs="Times New Roman"/>
      <w:sz w:val="24"/>
      <w:szCs w:val="24"/>
      <w:lang w:val="en-CA" w:eastAsia="en-CA"/>
    </w:rPr>
  </w:style>
  <w:style w:type="character" w:styleId="PageNumber">
    <w:name w:val="page number"/>
    <w:basedOn w:val="DefaultParagraphFont"/>
    <w:rsid w:val="00075916"/>
  </w:style>
  <w:style w:type="paragraph" w:styleId="ListParagraph">
    <w:name w:val="List Paragraph"/>
    <w:basedOn w:val="Normal"/>
    <w:uiPriority w:val="34"/>
    <w:qFormat/>
    <w:rsid w:val="00075916"/>
    <w:pPr>
      <w:ind w:left="720"/>
      <w:contextualSpacing/>
    </w:pPr>
  </w:style>
  <w:style w:type="paragraph" w:customStyle="1" w:styleId="NormalafterHeading">
    <w:name w:val="Normal after Heading"/>
    <w:basedOn w:val="Normal"/>
    <w:next w:val="Normal"/>
    <w:link w:val="NormalafterHeadingChar"/>
    <w:rsid w:val="00075916"/>
    <w:pPr>
      <w:spacing w:after="120"/>
      <w:jc w:val="both"/>
    </w:pPr>
    <w:rPr>
      <w:rFonts w:ascii="Verdana" w:hAnsi="Verdana"/>
      <w:sz w:val="20"/>
      <w:szCs w:val="20"/>
    </w:rPr>
  </w:style>
  <w:style w:type="character" w:customStyle="1" w:styleId="NormalafterHeadingChar">
    <w:name w:val="Normal after Heading Char"/>
    <w:link w:val="NormalafterHeading"/>
    <w:rsid w:val="00075916"/>
    <w:rPr>
      <w:rFonts w:ascii="Verdana" w:eastAsia="Times New Roman" w:hAnsi="Verdana" w:cs="Times New Roman"/>
      <w:sz w:val="20"/>
      <w:szCs w:val="20"/>
      <w:lang w:val="en-CA" w:eastAsia="en-CA"/>
    </w:rPr>
  </w:style>
  <w:style w:type="paragraph" w:styleId="ListBullet">
    <w:name w:val="List Bullet"/>
    <w:link w:val="ListBulletChar"/>
    <w:rsid w:val="00075916"/>
    <w:pPr>
      <w:numPr>
        <w:numId w:val="1"/>
      </w:numPr>
      <w:spacing w:after="120" w:line="240" w:lineRule="auto"/>
    </w:pPr>
    <w:rPr>
      <w:rFonts w:ascii="Verdana" w:eastAsia="Times New Roman" w:hAnsi="Verdana" w:cs="Times New Roman"/>
      <w:sz w:val="20"/>
      <w:szCs w:val="20"/>
      <w:lang w:val="en-CA" w:eastAsia="en-CA"/>
    </w:rPr>
  </w:style>
  <w:style w:type="character" w:customStyle="1" w:styleId="ListBulletChar">
    <w:name w:val="List Bullet Char"/>
    <w:link w:val="ListBullet"/>
    <w:rsid w:val="00075916"/>
    <w:rPr>
      <w:rFonts w:ascii="Verdana" w:eastAsia="Times New Roman" w:hAnsi="Verdana" w:cs="Times New Roman"/>
      <w:sz w:val="20"/>
      <w:szCs w:val="20"/>
      <w:lang w:val="en-CA" w:eastAsia="en-CA"/>
    </w:rPr>
  </w:style>
  <w:style w:type="paragraph" w:customStyle="1" w:styleId="Default">
    <w:name w:val="Default"/>
    <w:rsid w:val="00075916"/>
    <w:pPr>
      <w:autoSpaceDE w:val="0"/>
      <w:autoSpaceDN w:val="0"/>
      <w:adjustRightInd w:val="0"/>
      <w:spacing w:after="0" w:line="240" w:lineRule="auto"/>
    </w:pPr>
    <w:rPr>
      <w:rFonts w:ascii="Segoe UI" w:eastAsia="Calibri" w:hAnsi="Segoe UI" w:cs="Segoe UI"/>
      <w:color w:val="000000"/>
      <w:sz w:val="24"/>
      <w:szCs w:val="24"/>
      <w:lang w:val="en-CA" w:eastAsia="en-CA"/>
    </w:rPr>
  </w:style>
  <w:style w:type="character" w:styleId="FollowedHyperlink">
    <w:name w:val="FollowedHyperlink"/>
    <w:basedOn w:val="DefaultParagraphFont"/>
    <w:uiPriority w:val="99"/>
    <w:semiHidden/>
    <w:unhideWhenUsed/>
    <w:rsid w:val="000A68BB"/>
    <w:rPr>
      <w:color w:val="954F72" w:themeColor="followedHyperlink"/>
      <w:u w:val="single"/>
    </w:rPr>
  </w:style>
  <w:style w:type="character" w:styleId="CommentReference">
    <w:name w:val="annotation reference"/>
    <w:basedOn w:val="DefaultParagraphFont"/>
    <w:rsid w:val="002C7FBE"/>
    <w:rPr>
      <w:sz w:val="16"/>
      <w:szCs w:val="16"/>
    </w:rPr>
  </w:style>
  <w:style w:type="paragraph" w:styleId="CommentText">
    <w:name w:val="annotation text"/>
    <w:basedOn w:val="Normal"/>
    <w:link w:val="CommentTextChar"/>
    <w:rsid w:val="002C7FBE"/>
    <w:rPr>
      <w:sz w:val="20"/>
      <w:szCs w:val="20"/>
    </w:rPr>
  </w:style>
  <w:style w:type="character" w:customStyle="1" w:styleId="CommentTextChar">
    <w:name w:val="Comment Text Char"/>
    <w:basedOn w:val="DefaultParagraphFont"/>
    <w:link w:val="CommentText"/>
    <w:rsid w:val="002C7FBE"/>
    <w:rPr>
      <w:rFonts w:ascii="Times New Roman" w:eastAsia="Times New Roman" w:hAnsi="Times New Roman" w:cs="Times New Roman"/>
      <w:sz w:val="20"/>
      <w:szCs w:val="20"/>
      <w:lang w:val="en-CA" w:eastAsia="en-CA"/>
    </w:rPr>
  </w:style>
  <w:style w:type="paragraph" w:styleId="BalloonText">
    <w:name w:val="Balloon Text"/>
    <w:basedOn w:val="Normal"/>
    <w:link w:val="BalloonTextChar"/>
    <w:uiPriority w:val="99"/>
    <w:semiHidden/>
    <w:unhideWhenUsed/>
    <w:rsid w:val="002C7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E"/>
    <w:rPr>
      <w:rFonts w:ascii="Segoe UI" w:eastAsia="Times New Roman" w:hAnsi="Segoe UI" w:cs="Segoe UI"/>
      <w:sz w:val="18"/>
      <w:szCs w:val="18"/>
      <w:lang w:val="en-CA" w:eastAsia="en-CA"/>
    </w:rPr>
  </w:style>
  <w:style w:type="paragraph" w:styleId="CommentSubject">
    <w:name w:val="annotation subject"/>
    <w:basedOn w:val="CommentText"/>
    <w:next w:val="CommentText"/>
    <w:link w:val="CommentSubjectChar"/>
    <w:uiPriority w:val="99"/>
    <w:semiHidden/>
    <w:unhideWhenUsed/>
    <w:rsid w:val="00CF58DF"/>
    <w:rPr>
      <w:b/>
      <w:bCs w:val="0"/>
    </w:rPr>
  </w:style>
  <w:style w:type="character" w:customStyle="1" w:styleId="CommentSubjectChar">
    <w:name w:val="Comment Subject Char"/>
    <w:basedOn w:val="CommentTextChar"/>
    <w:link w:val="CommentSubject"/>
    <w:uiPriority w:val="99"/>
    <w:semiHidden/>
    <w:rsid w:val="00CF58DF"/>
    <w:rPr>
      <w:rFonts w:ascii="Times New Roman" w:eastAsia="Times New Roman" w:hAnsi="Times New Roman" w:cs="Times New Roman"/>
      <w:b/>
      <w:bCs/>
      <w:sz w:val="20"/>
      <w:szCs w:val="20"/>
      <w:lang w:val="en-CA" w:eastAsia="en-CA"/>
    </w:rPr>
  </w:style>
  <w:style w:type="paragraph" w:styleId="EndnoteText">
    <w:name w:val="endnote text"/>
    <w:basedOn w:val="Normal"/>
    <w:link w:val="EndnoteTextChar"/>
    <w:uiPriority w:val="99"/>
    <w:unhideWhenUsed/>
    <w:rsid w:val="005C1FF4"/>
    <w:rPr>
      <w:sz w:val="20"/>
      <w:szCs w:val="20"/>
    </w:rPr>
  </w:style>
  <w:style w:type="character" w:customStyle="1" w:styleId="EndnoteTextChar">
    <w:name w:val="Endnote Text Char"/>
    <w:basedOn w:val="DefaultParagraphFont"/>
    <w:link w:val="EndnoteText"/>
    <w:uiPriority w:val="99"/>
    <w:rsid w:val="005C1FF4"/>
    <w:rPr>
      <w:rFonts w:ascii="Times New Roman" w:eastAsia="Times New Roman" w:hAnsi="Times New Roman" w:cs="Times New Roman"/>
      <w:sz w:val="20"/>
      <w:szCs w:val="20"/>
      <w:lang w:val="en-CA" w:eastAsia="en-CA"/>
    </w:rPr>
  </w:style>
  <w:style w:type="character" w:styleId="EndnoteReference">
    <w:name w:val="endnote reference"/>
    <w:basedOn w:val="DefaultParagraphFont"/>
    <w:uiPriority w:val="99"/>
    <w:unhideWhenUsed/>
    <w:rsid w:val="005C1FF4"/>
    <w:rPr>
      <w:vertAlign w:val="superscript"/>
    </w:rPr>
  </w:style>
  <w:style w:type="character" w:customStyle="1" w:styleId="Heading1Char">
    <w:name w:val="Heading 1 Char"/>
    <w:basedOn w:val="DefaultParagraphFont"/>
    <w:link w:val="Heading1"/>
    <w:uiPriority w:val="9"/>
    <w:rsid w:val="00FB67FF"/>
    <w:rPr>
      <w:rFonts w:ascii="Trebuchet MS" w:eastAsia="Times New Roman" w:hAnsi="Trebuchet MS" w:cs="Arial"/>
      <w:b/>
      <w:bCs/>
      <w:i/>
      <w:iCs/>
      <w:color w:val="003300"/>
      <w:sz w:val="36"/>
      <w:szCs w:val="36"/>
    </w:rPr>
  </w:style>
  <w:style w:type="character" w:customStyle="1" w:styleId="Heading3Char">
    <w:name w:val="Heading 3 Char"/>
    <w:basedOn w:val="DefaultParagraphFont"/>
    <w:link w:val="Heading3"/>
    <w:uiPriority w:val="9"/>
    <w:rsid w:val="00FB67FF"/>
    <w:rPr>
      <w:rFonts w:ascii="Trebuchet MS" w:eastAsiaTheme="majorEastAsia" w:hAnsi="Trebuchet MS" w:cstheme="majorBidi"/>
      <w:bCs/>
      <w:iCs/>
      <w:color w:val="0D0D0D" w:themeColor="text1" w:themeTint="F2"/>
      <w:sz w:val="24"/>
      <w:szCs w:val="24"/>
    </w:rPr>
  </w:style>
  <w:style w:type="character" w:customStyle="1" w:styleId="Heading4Char">
    <w:name w:val="Heading 4 Char"/>
    <w:basedOn w:val="DefaultParagraphFont"/>
    <w:link w:val="Heading4"/>
    <w:uiPriority w:val="9"/>
    <w:semiHidden/>
    <w:rsid w:val="00FB67FF"/>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FB67FF"/>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B67FF"/>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FB67F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B67F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B67F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B67FF"/>
    <w:pPr>
      <w:spacing w:after="200" w:line="240" w:lineRule="auto"/>
    </w:pPr>
    <w:rPr>
      <w:i/>
      <w:iCs w:val="0"/>
      <w:color w:val="44546A" w:themeColor="text2"/>
      <w:sz w:val="18"/>
      <w:szCs w:val="18"/>
    </w:rPr>
  </w:style>
  <w:style w:type="paragraph" w:styleId="Title">
    <w:name w:val="Title"/>
    <w:basedOn w:val="Normal"/>
    <w:next w:val="Normal"/>
    <w:link w:val="TitleChar"/>
    <w:uiPriority w:val="10"/>
    <w:qFormat/>
    <w:rsid w:val="00FB67FF"/>
    <w:pPr>
      <w:jc w:val="center"/>
    </w:pPr>
    <w:rPr>
      <w:rFonts w:cs="TimesNewRomanPS-BoldMT"/>
      <w:b/>
      <w:bCs w:val="0"/>
      <w:sz w:val="32"/>
      <w:szCs w:val="32"/>
    </w:rPr>
  </w:style>
  <w:style w:type="character" w:customStyle="1" w:styleId="TitleChar">
    <w:name w:val="Title Char"/>
    <w:basedOn w:val="DefaultParagraphFont"/>
    <w:link w:val="Title"/>
    <w:uiPriority w:val="10"/>
    <w:rsid w:val="00FB67FF"/>
    <w:rPr>
      <w:rFonts w:cs="TimesNewRomanPS-BoldMT"/>
      <w:b/>
      <w:bCs/>
      <w:sz w:val="32"/>
      <w:szCs w:val="32"/>
    </w:rPr>
  </w:style>
  <w:style w:type="paragraph" w:styleId="Subtitle">
    <w:name w:val="Subtitle"/>
    <w:basedOn w:val="Normal"/>
    <w:next w:val="Normal"/>
    <w:link w:val="SubtitleChar"/>
    <w:uiPriority w:val="11"/>
    <w:qFormat/>
    <w:rsid w:val="00FB67F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B67FF"/>
    <w:rPr>
      <w:color w:val="5A5A5A" w:themeColor="text1" w:themeTint="A5"/>
      <w:spacing w:val="15"/>
    </w:rPr>
  </w:style>
  <w:style w:type="character" w:styleId="Strong">
    <w:name w:val="Strong"/>
    <w:basedOn w:val="DefaultParagraphFont"/>
    <w:uiPriority w:val="22"/>
    <w:qFormat/>
    <w:rsid w:val="00FB67FF"/>
    <w:rPr>
      <w:b/>
      <w:bCs/>
      <w:color w:val="auto"/>
    </w:rPr>
  </w:style>
  <w:style w:type="character" w:styleId="Emphasis">
    <w:name w:val="Emphasis"/>
    <w:basedOn w:val="DefaultParagraphFont"/>
    <w:uiPriority w:val="20"/>
    <w:qFormat/>
    <w:rsid w:val="00FB67FF"/>
    <w:rPr>
      <w:i/>
      <w:iCs/>
      <w:color w:val="auto"/>
    </w:rPr>
  </w:style>
  <w:style w:type="paragraph" w:styleId="NoSpacing">
    <w:name w:val="No Spacing"/>
    <w:uiPriority w:val="1"/>
    <w:qFormat/>
    <w:rsid w:val="00FB67FF"/>
    <w:pPr>
      <w:spacing w:after="0" w:line="240" w:lineRule="auto"/>
    </w:pPr>
  </w:style>
  <w:style w:type="paragraph" w:styleId="Quote">
    <w:name w:val="Quote"/>
    <w:basedOn w:val="Normal"/>
    <w:next w:val="Normal"/>
    <w:link w:val="QuoteChar"/>
    <w:uiPriority w:val="29"/>
    <w:qFormat/>
    <w:rsid w:val="00FB67FF"/>
    <w:pPr>
      <w:spacing w:before="200"/>
      <w:ind w:left="864" w:right="864"/>
    </w:pPr>
    <w:rPr>
      <w:i/>
      <w:iCs w:val="0"/>
      <w:color w:val="404040" w:themeColor="text1" w:themeTint="BF"/>
    </w:rPr>
  </w:style>
  <w:style w:type="character" w:customStyle="1" w:styleId="QuoteChar">
    <w:name w:val="Quote Char"/>
    <w:basedOn w:val="DefaultParagraphFont"/>
    <w:link w:val="Quote"/>
    <w:uiPriority w:val="29"/>
    <w:rsid w:val="00FB67FF"/>
    <w:rPr>
      <w:i/>
      <w:iCs/>
      <w:color w:val="404040" w:themeColor="text1" w:themeTint="BF"/>
    </w:rPr>
  </w:style>
  <w:style w:type="paragraph" w:styleId="IntenseQuote">
    <w:name w:val="Intense Quote"/>
    <w:basedOn w:val="Normal"/>
    <w:next w:val="Normal"/>
    <w:link w:val="IntenseQuoteChar"/>
    <w:uiPriority w:val="30"/>
    <w:qFormat/>
    <w:rsid w:val="00FB67FF"/>
    <w:pPr>
      <w:pBdr>
        <w:top w:val="single" w:sz="4" w:space="10" w:color="404040" w:themeColor="text1" w:themeTint="BF"/>
        <w:bottom w:val="single" w:sz="4" w:space="10" w:color="404040" w:themeColor="text1" w:themeTint="BF"/>
      </w:pBdr>
      <w:spacing w:before="360" w:after="360"/>
      <w:ind w:left="864" w:right="864"/>
      <w:jc w:val="center"/>
    </w:pPr>
    <w:rPr>
      <w:i/>
      <w:iCs w:val="0"/>
      <w:color w:val="404040" w:themeColor="text1" w:themeTint="BF"/>
    </w:rPr>
  </w:style>
  <w:style w:type="character" w:customStyle="1" w:styleId="IntenseQuoteChar">
    <w:name w:val="Intense Quote Char"/>
    <w:basedOn w:val="DefaultParagraphFont"/>
    <w:link w:val="IntenseQuote"/>
    <w:uiPriority w:val="30"/>
    <w:rsid w:val="00FB67FF"/>
    <w:rPr>
      <w:i/>
      <w:iCs/>
      <w:color w:val="404040" w:themeColor="text1" w:themeTint="BF"/>
    </w:rPr>
  </w:style>
  <w:style w:type="character" w:styleId="SubtleEmphasis">
    <w:name w:val="Subtle Emphasis"/>
    <w:basedOn w:val="DefaultParagraphFont"/>
    <w:uiPriority w:val="19"/>
    <w:qFormat/>
    <w:rsid w:val="00FB67FF"/>
    <w:rPr>
      <w:i/>
      <w:iCs/>
      <w:color w:val="404040" w:themeColor="text1" w:themeTint="BF"/>
    </w:rPr>
  </w:style>
  <w:style w:type="character" w:styleId="IntenseEmphasis">
    <w:name w:val="Intense Emphasis"/>
    <w:basedOn w:val="DefaultParagraphFont"/>
    <w:uiPriority w:val="21"/>
    <w:qFormat/>
    <w:rsid w:val="00FB67FF"/>
    <w:rPr>
      <w:b/>
      <w:bCs/>
      <w:i/>
      <w:iCs/>
      <w:color w:val="auto"/>
    </w:rPr>
  </w:style>
  <w:style w:type="character" w:styleId="SubtleReference">
    <w:name w:val="Subtle Reference"/>
    <w:basedOn w:val="DefaultParagraphFont"/>
    <w:uiPriority w:val="31"/>
    <w:qFormat/>
    <w:rsid w:val="00FB67FF"/>
    <w:rPr>
      <w:smallCaps/>
      <w:color w:val="404040" w:themeColor="text1" w:themeTint="BF"/>
    </w:rPr>
  </w:style>
  <w:style w:type="character" w:styleId="IntenseReference">
    <w:name w:val="Intense Reference"/>
    <w:basedOn w:val="DefaultParagraphFont"/>
    <w:uiPriority w:val="32"/>
    <w:qFormat/>
    <w:rsid w:val="00FB67FF"/>
    <w:rPr>
      <w:b/>
      <w:bCs/>
      <w:smallCaps/>
      <w:color w:val="404040" w:themeColor="text1" w:themeTint="BF"/>
      <w:spacing w:val="5"/>
    </w:rPr>
  </w:style>
  <w:style w:type="character" w:styleId="BookTitle">
    <w:name w:val="Book Title"/>
    <w:basedOn w:val="DefaultParagraphFont"/>
    <w:uiPriority w:val="33"/>
    <w:qFormat/>
    <w:rsid w:val="00FB67FF"/>
    <w:rPr>
      <w:b/>
      <w:bCs/>
      <w:i/>
      <w:iCs/>
      <w:spacing w:val="5"/>
    </w:rPr>
  </w:style>
  <w:style w:type="paragraph" w:styleId="TOCHeading">
    <w:name w:val="TOC Heading"/>
    <w:basedOn w:val="Heading1"/>
    <w:next w:val="Normal"/>
    <w:uiPriority w:val="39"/>
    <w:unhideWhenUsed/>
    <w:qFormat/>
    <w:rsid w:val="00FB67FF"/>
    <w:pPr>
      <w:outlineLvl w:val="9"/>
    </w:pPr>
  </w:style>
  <w:style w:type="paragraph" w:styleId="TOC1">
    <w:name w:val="toc 1"/>
    <w:basedOn w:val="Normal"/>
    <w:next w:val="Normal"/>
    <w:autoRedefine/>
    <w:uiPriority w:val="39"/>
    <w:unhideWhenUsed/>
    <w:rsid w:val="00DA1DD4"/>
    <w:pPr>
      <w:spacing w:after="100"/>
    </w:pPr>
  </w:style>
  <w:style w:type="paragraph" w:styleId="TOC2">
    <w:name w:val="toc 2"/>
    <w:basedOn w:val="Normal"/>
    <w:next w:val="Normal"/>
    <w:autoRedefine/>
    <w:uiPriority w:val="39"/>
    <w:unhideWhenUsed/>
    <w:rsid w:val="00DA1DD4"/>
    <w:pPr>
      <w:spacing w:after="100"/>
      <w:ind w:left="220"/>
    </w:pPr>
  </w:style>
  <w:style w:type="paragraph" w:styleId="TOC3">
    <w:name w:val="toc 3"/>
    <w:basedOn w:val="Normal"/>
    <w:next w:val="Normal"/>
    <w:autoRedefine/>
    <w:uiPriority w:val="39"/>
    <w:unhideWhenUsed/>
    <w:rsid w:val="0025481A"/>
    <w:pPr>
      <w:tabs>
        <w:tab w:val="right" w:leader="dot" w:pos="9350"/>
      </w:tabs>
      <w:spacing w:after="100"/>
      <w:ind w:left="440"/>
    </w:pPr>
  </w:style>
  <w:style w:type="paragraph" w:styleId="Revision">
    <w:name w:val="Revision"/>
    <w:hidden/>
    <w:uiPriority w:val="99"/>
    <w:semiHidden/>
    <w:rsid w:val="00942B77"/>
    <w:pPr>
      <w:spacing w:after="0" w:line="240" w:lineRule="auto"/>
    </w:pPr>
    <w:rPr>
      <w:rFonts w:ascii="Trebuchet MS" w:eastAsia="Times New Roman" w:hAnsi="Trebuchet MS" w:cs="Arial"/>
      <w:bCs/>
      <w:iCs/>
    </w:rPr>
  </w:style>
  <w:style w:type="character" w:styleId="UnresolvedMention">
    <w:name w:val="Unresolved Mention"/>
    <w:basedOn w:val="DefaultParagraphFont"/>
    <w:uiPriority w:val="99"/>
    <w:semiHidden/>
    <w:unhideWhenUsed/>
    <w:rsid w:val="00B07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3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hyperlink" Target="https://www.queensu.ca/financialservices/sites/finswww/files/uploaded_files/PCI/Merchant/One%20Time%20Events%20-%20Procedure%20for%20Accepting%20Payment%20Cards%20FINAL.pdf" TargetMode="External"/><Relationship Id="rId26" Type="http://schemas.openxmlformats.org/officeDocument/2006/relationships/hyperlink" Target="https://www.queensu.ca/secretariat/policies/finance/payment-card-acceptance-policy" TargetMode="External"/><Relationship Id="rId21" Type="http://schemas.openxmlformats.org/officeDocument/2006/relationships/hyperlink" Target="https://www.queensu.ca/financialservices/sites/finswww/files/uploaded_files/PCI/Resources/Fillable_Payment%20Card%20Security%20and%20Ethics%20Agreement_FINALwlogo.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archives.queensu.ca/records-retention-schedules" TargetMode="External"/><Relationship Id="rId25" Type="http://schemas.openxmlformats.org/officeDocument/2006/relationships/hyperlink" Target="https://www.queensu.ca/its/forms/itsc/helpfor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hyperlink" Target="https://www.queensu.ca/financialservices/sites/finswww/files/uploaded_files/PCI/Merchant/Request%20for%20New%20Merchant%20Account%20-%20PIN%20Pad.pdf" TargetMode="External"/><Relationship Id="rId29" Type="http://schemas.openxmlformats.org/officeDocument/2006/relationships/hyperlink" Target="https://www.queensu.ca/secretariat/policies/senate/electronic-information-security-policy-framework/network-and-systems-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queensu.ca/its/contact-us" TargetMode="External"/><Relationship Id="rId32" Type="http://schemas.openxmlformats.org/officeDocument/2006/relationships/hyperlink" Target="https://www.pcisecuritystandards.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www.queensu.ca/financialservices/sites/finswww/files/uploaded_files/PCI/Merchant/Request%20to%20Close%20a%20Merchant%20Account.pdf" TargetMode="External"/><Relationship Id="rId28" Type="http://schemas.openxmlformats.org/officeDocument/2006/relationships/hyperlink" Target="https://www.queensu.ca/secretariat/policies/senate/electronic-information-security-policy-framework/electronic-information-securit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queensu.ca/financialservices/sites/finswww/files/uploaded_files/PCI/Merchant/Request%20for%20New%20Merchant%20Account%20-%20Online.pdf" TargetMode="External"/><Relationship Id="rId31" Type="http://schemas.openxmlformats.org/officeDocument/2006/relationships/hyperlink" Target="https://www.queensu.ca/secretariat/policies/administration-and-operations/access-information-and-protection-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chives.queensu.ca/records-retention-schedules" TargetMode="External"/><Relationship Id="rId22" Type="http://schemas.openxmlformats.org/officeDocument/2006/relationships/hyperlink" Target="https://www.queensu.ca/financialservices/sites/finswww/files/uploaded_files/PCI/Merchant/Request%20to%20Make%20Changes%20to%20Merchant%20Account_User%20Access.pdf" TargetMode="External"/><Relationship Id="rId27" Type="http://schemas.openxmlformats.org/officeDocument/2006/relationships/hyperlink" Target="https://www.queensu.ca/secretariat/policies/senate/electronic-information-security-policy-framework" TargetMode="External"/><Relationship Id="rId30" Type="http://schemas.openxmlformats.org/officeDocument/2006/relationships/hyperlink" Target="https://archives.queensu.ca/records-retention-schedules"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1888BDA9B5942AD62F3923654ECD7" ma:contentTypeVersion="2" ma:contentTypeDescription="Create a new document." ma:contentTypeScope="" ma:versionID="cb428cc7d1aa757f0e12e5c310d462e6">
  <xsd:schema xmlns:xsd="http://www.w3.org/2001/XMLSchema" xmlns:xs="http://www.w3.org/2001/XMLSchema" xmlns:p="http://schemas.microsoft.com/office/2006/metadata/properties" xmlns:ns2="ca3e72d5-ac33-4b85-a79d-762d9068e23a" targetNamespace="http://schemas.microsoft.com/office/2006/metadata/properties" ma:root="true" ma:fieldsID="9fceea069b1c5c2244bb4edd2049a3ba" ns2:_="">
    <xsd:import namespace="ca3e72d5-ac33-4b85-a79d-762d9068e2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e72d5-ac33-4b85-a79d-762d9068e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0252D-DAB8-4AD5-93D1-F0ECBBF33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223CA6-48B8-43F2-95F3-658BF1987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e72d5-ac33-4b85-a79d-762d9068e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2F150-D0C6-4235-906D-466A5E5FD0F5}">
  <ds:schemaRefs>
    <ds:schemaRef ds:uri="http://schemas.openxmlformats.org/officeDocument/2006/bibliography"/>
  </ds:schemaRefs>
</ds:datastoreItem>
</file>

<file path=customXml/itemProps4.xml><?xml version="1.0" encoding="utf-8"?>
<ds:datastoreItem xmlns:ds="http://schemas.openxmlformats.org/officeDocument/2006/customXml" ds:itemID="{8C3870A8-651F-4B99-B7BC-A7FDABCE2E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20</Pages>
  <Words>6583</Words>
  <Characters>37525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44020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Brown</dc:creator>
  <cp:keywords/>
  <dc:description/>
  <cp:lastModifiedBy>Oluchi Ashcroft</cp:lastModifiedBy>
  <cp:revision>18</cp:revision>
  <cp:lastPrinted>2019-02-22T15:59:00Z</cp:lastPrinted>
  <dcterms:created xsi:type="dcterms:W3CDTF">2020-09-17T16:16:00Z</dcterms:created>
  <dcterms:modified xsi:type="dcterms:W3CDTF">2023-03-14T23:00:00Z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0x01010044E1888BDA9B5942AD62F3923654ECD7</vt:lpwstr>
  </property>
</Properties>
</file>