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38B3" w14:textId="77777777" w:rsidR="005367C0" w:rsidRPr="005367C0" w:rsidRDefault="005367C0" w:rsidP="005367C0">
      <w:pPr>
        <w:spacing w:after="120" w:line="240" w:lineRule="auto"/>
        <w:outlineLvl w:val="1"/>
        <w:rPr>
          <w:rFonts w:ascii="Open Sans" w:eastAsia="Calibri" w:hAnsi="Open Sans" w:cs="Open Sans"/>
          <w:b/>
          <w:kern w:val="0"/>
          <w:sz w:val="24"/>
          <w:szCs w:val="21"/>
          <w14:ligatures w14:val="none"/>
        </w:rPr>
      </w:pPr>
      <w:bookmarkStart w:id="0" w:name="_Toc167202310"/>
      <w:bookmarkStart w:id="1" w:name="_Toc167363847"/>
      <w:r w:rsidRPr="005367C0">
        <w:rPr>
          <w:rFonts w:ascii="Open Sans" w:eastAsia="Calibri" w:hAnsi="Open Sans" w:cs="Open Sans"/>
          <w:b/>
          <w:kern w:val="0"/>
          <w:sz w:val="24"/>
          <w:szCs w:val="21"/>
          <w14:ligatures w14:val="none"/>
        </w:rPr>
        <w:t>DEAL Model in Short: Questions &amp; Rubric</w:t>
      </w:r>
      <w:bookmarkEnd w:id="0"/>
      <w:bookmarkEnd w:id="1"/>
    </w:p>
    <w:p w14:paraId="04DBEB52" w14:textId="77777777" w:rsidR="005367C0" w:rsidRPr="005367C0" w:rsidRDefault="005367C0" w:rsidP="005367C0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5367C0">
        <w:rPr>
          <w:rFonts w:ascii="Open Sans" w:eastAsia="Calibri" w:hAnsi="Open Sans" w:cs="Arial"/>
          <w:kern w:val="0"/>
          <w:sz w:val="21"/>
          <w14:ligatures w14:val="none"/>
        </w:rPr>
        <w:t>Ash &amp; Clayton’s (2009) DEAL Model for Critical Reflection is frequently cited as a guiding theoretical framework for strategic engagement in the reflective process. The framework describes reflection as a three-step process:</w:t>
      </w:r>
    </w:p>
    <w:p w14:paraId="03DF566D" w14:textId="77777777" w:rsidR="005367C0" w:rsidRPr="005367C0" w:rsidRDefault="005367C0" w:rsidP="005367C0">
      <w:pPr>
        <w:spacing w:after="120" w:line="240" w:lineRule="auto"/>
        <w:outlineLvl w:val="2"/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</w:pPr>
      <w:bookmarkStart w:id="2" w:name="_Toc167202231"/>
      <w:bookmarkStart w:id="3" w:name="_Toc167363848"/>
      <w:r w:rsidRPr="005367C0">
        <w:rPr>
          <w:rFonts w:ascii="Open Sans" w:eastAsia="Calibri" w:hAnsi="Open Sans" w:cs="Open Sans"/>
          <w:b/>
          <w:kern w:val="0"/>
          <w:sz w:val="21"/>
          <w:szCs w:val="21"/>
          <w:u w:val="single"/>
          <w14:ligatures w14:val="none"/>
        </w:rPr>
        <w:t>D</w:t>
      </w:r>
      <w:r w:rsidRPr="005367C0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>escription</w:t>
      </w:r>
      <w:bookmarkEnd w:id="2"/>
      <w:bookmarkEnd w:id="3"/>
    </w:p>
    <w:p w14:paraId="2A033877" w14:textId="77777777" w:rsidR="005367C0" w:rsidRPr="005367C0" w:rsidRDefault="005367C0" w:rsidP="005367C0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5367C0">
        <w:rPr>
          <w:rFonts w:ascii="Open Sans" w:eastAsia="Calibri" w:hAnsi="Open Sans" w:cs="Arial"/>
          <w:kern w:val="0"/>
          <w:sz w:val="21"/>
          <w14:ligatures w14:val="none"/>
        </w:rPr>
        <w:t>Description of learning experiences in an objective and comprehensive manner</w:t>
      </w:r>
    </w:p>
    <w:p w14:paraId="5899EECB" w14:textId="77777777" w:rsidR="005367C0" w:rsidRPr="005367C0" w:rsidRDefault="005367C0" w:rsidP="005367C0">
      <w:pPr>
        <w:spacing w:before="120" w:after="120" w:line="240" w:lineRule="auto"/>
        <w:ind w:left="720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Guiding Questions:</w:t>
      </w:r>
    </w:p>
    <w:p w14:paraId="246AB91D" w14:textId="77777777" w:rsidR="005367C0" w:rsidRPr="005367C0" w:rsidRDefault="005367C0" w:rsidP="005367C0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What took place?</w:t>
      </w:r>
    </w:p>
    <w:p w14:paraId="2D4C5F6F" w14:textId="77777777" w:rsidR="005367C0" w:rsidRPr="005367C0" w:rsidRDefault="005367C0" w:rsidP="005367C0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When and where did the experience in question take place?</w:t>
      </w:r>
    </w:p>
    <w:p w14:paraId="65F5ED41" w14:textId="77777777" w:rsidR="005367C0" w:rsidRPr="005367C0" w:rsidRDefault="005367C0" w:rsidP="005367C0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Who was and was not present?</w:t>
      </w:r>
    </w:p>
    <w:p w14:paraId="269BBED7" w14:textId="77777777" w:rsidR="005367C0" w:rsidRPr="005367C0" w:rsidRDefault="005367C0" w:rsidP="005367C0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did you and </w:t>
      </w:r>
      <w:proofErr w:type="gramStart"/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other</w:t>
      </w:r>
      <w:proofErr w:type="gramEnd"/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do/not do?</w:t>
      </w:r>
    </w:p>
    <w:p w14:paraId="3FF50AFB" w14:textId="77777777" w:rsidR="005367C0" w:rsidRPr="005367C0" w:rsidRDefault="005367C0" w:rsidP="005367C0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What did you see, hear, etc.?</w:t>
      </w:r>
    </w:p>
    <w:p w14:paraId="36B326F6" w14:textId="77777777" w:rsidR="005367C0" w:rsidRPr="005367C0" w:rsidRDefault="005367C0" w:rsidP="005367C0">
      <w:pPr>
        <w:spacing w:after="120" w:line="240" w:lineRule="auto"/>
        <w:outlineLvl w:val="2"/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</w:pPr>
      <w:bookmarkStart w:id="4" w:name="_Toc167202232"/>
      <w:bookmarkStart w:id="5" w:name="_Toc167363849"/>
      <w:r w:rsidRPr="005367C0">
        <w:rPr>
          <w:rFonts w:ascii="Open Sans" w:eastAsia="Calibri" w:hAnsi="Open Sans" w:cs="Open Sans"/>
          <w:b/>
          <w:kern w:val="0"/>
          <w:sz w:val="21"/>
          <w:szCs w:val="21"/>
          <w:u w:val="single"/>
          <w14:ligatures w14:val="none"/>
        </w:rPr>
        <w:t>E</w:t>
      </w:r>
      <w:r w:rsidRPr="005367C0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>xamination</w:t>
      </w:r>
      <w:bookmarkEnd w:id="4"/>
      <w:bookmarkEnd w:id="5"/>
    </w:p>
    <w:p w14:paraId="11EA74CD" w14:textId="77777777" w:rsidR="005367C0" w:rsidRPr="005367C0" w:rsidRDefault="005367C0" w:rsidP="005367C0">
      <w:pPr>
        <w:spacing w:after="120" w:line="240" w:lineRule="auto"/>
        <w:rPr>
          <w:rFonts w:ascii="Open Sans" w:eastAsia="Calibri" w:hAnsi="Open Sans" w:cs="Arial"/>
          <w:b/>
          <w:kern w:val="0"/>
          <w:sz w:val="21"/>
          <w14:ligatures w14:val="none"/>
        </w:rPr>
      </w:pPr>
      <w:r w:rsidRPr="005367C0">
        <w:rPr>
          <w:rFonts w:ascii="Open Sans" w:eastAsia="Calibri" w:hAnsi="Open Sans" w:cs="Arial"/>
          <w:kern w:val="0"/>
          <w:sz w:val="21"/>
          <w14:ligatures w14:val="none"/>
        </w:rPr>
        <w:t xml:space="preserve">Examination of learning opportunities </w:t>
      </w:r>
      <w:proofErr w:type="gramStart"/>
      <w:r w:rsidRPr="005367C0">
        <w:rPr>
          <w:rFonts w:ascii="Open Sans" w:eastAsia="Calibri" w:hAnsi="Open Sans" w:cs="Arial"/>
          <w:kern w:val="0"/>
          <w:sz w:val="21"/>
          <w14:ligatures w14:val="none"/>
        </w:rPr>
        <w:t>in light of</w:t>
      </w:r>
      <w:proofErr w:type="gramEnd"/>
      <w:r w:rsidRPr="005367C0">
        <w:rPr>
          <w:rFonts w:ascii="Open Sans" w:eastAsia="Calibri" w:hAnsi="Open Sans" w:cs="Arial"/>
          <w:kern w:val="0"/>
          <w:sz w:val="21"/>
          <w14:ligatures w14:val="none"/>
        </w:rPr>
        <w:t xml:space="preserve"> previously identified goals or expected outcomes of learning</w:t>
      </w:r>
    </w:p>
    <w:p w14:paraId="6A8F903F" w14:textId="77777777" w:rsidR="005367C0" w:rsidRPr="005367C0" w:rsidRDefault="005367C0" w:rsidP="005367C0">
      <w:pPr>
        <w:spacing w:before="120" w:after="120" w:line="240" w:lineRule="auto"/>
        <w:ind w:left="720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Guiding Questions:</w:t>
      </w:r>
    </w:p>
    <w:p w14:paraId="209DAE6F" w14:textId="77777777" w:rsidR="005367C0" w:rsidRPr="005367C0" w:rsidRDefault="005367C0" w:rsidP="005367C0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In what ways did you succeed or do well?</w:t>
      </w:r>
    </w:p>
    <w:p w14:paraId="5C39A13A" w14:textId="77777777" w:rsidR="005367C0" w:rsidRPr="005367C0" w:rsidRDefault="005367C0" w:rsidP="005367C0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In what ways were you challenged?</w:t>
      </w:r>
    </w:p>
    <w:p w14:paraId="29EB2429" w14:textId="77777777" w:rsidR="005367C0" w:rsidRPr="005367C0" w:rsidRDefault="005367C0" w:rsidP="005367C0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How did this experience make you feel?</w:t>
      </w:r>
    </w:p>
    <w:p w14:paraId="3CD6F690" w14:textId="77777777" w:rsidR="005367C0" w:rsidRPr="005367C0" w:rsidRDefault="005367C0" w:rsidP="005367C0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How </w:t>
      </w:r>
      <w:proofErr w:type="gramStart"/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was</w:t>
      </w:r>
      <w:proofErr w:type="gramEnd"/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your perspective/thoughts changed in light of your experience?</w:t>
      </w:r>
    </w:p>
    <w:p w14:paraId="1DBDB899" w14:textId="77777777" w:rsidR="005367C0" w:rsidRPr="005367C0" w:rsidRDefault="005367C0" w:rsidP="005367C0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125F8799" w14:textId="77777777" w:rsidR="005367C0" w:rsidRPr="005367C0" w:rsidRDefault="005367C0" w:rsidP="005367C0">
      <w:pPr>
        <w:spacing w:after="120" w:line="240" w:lineRule="auto"/>
        <w:outlineLvl w:val="2"/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</w:pPr>
      <w:bookmarkStart w:id="6" w:name="_Toc167202233"/>
      <w:bookmarkStart w:id="7" w:name="_Toc167363850"/>
      <w:r w:rsidRPr="005367C0">
        <w:rPr>
          <w:rFonts w:ascii="Open Sans" w:eastAsia="Calibri" w:hAnsi="Open Sans" w:cs="Open Sans"/>
          <w:b/>
          <w:kern w:val="0"/>
          <w:sz w:val="21"/>
          <w:szCs w:val="21"/>
          <w:u w:val="single"/>
          <w14:ligatures w14:val="none"/>
        </w:rPr>
        <w:t>A</w:t>
      </w:r>
      <w:r w:rsidRPr="005367C0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 xml:space="preserve">rticulation of </w:t>
      </w:r>
      <w:r w:rsidRPr="005367C0">
        <w:rPr>
          <w:rFonts w:ascii="Open Sans" w:eastAsia="Calibri" w:hAnsi="Open Sans" w:cs="Open Sans"/>
          <w:b/>
          <w:kern w:val="0"/>
          <w:sz w:val="21"/>
          <w:szCs w:val="21"/>
          <w:u w:val="single"/>
          <w14:ligatures w14:val="none"/>
        </w:rPr>
        <w:t>L</w:t>
      </w:r>
      <w:r w:rsidRPr="005367C0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>earning</w:t>
      </w:r>
      <w:bookmarkEnd w:id="6"/>
      <w:bookmarkEnd w:id="7"/>
    </w:p>
    <w:p w14:paraId="75E1AD07" w14:textId="77777777" w:rsidR="005367C0" w:rsidRPr="005367C0" w:rsidRDefault="005367C0" w:rsidP="005367C0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5367C0">
        <w:rPr>
          <w:rFonts w:ascii="Open Sans" w:eastAsia="Calibri" w:hAnsi="Open Sans" w:cs="Arial"/>
          <w:kern w:val="0"/>
          <w:sz w:val="21"/>
          <w14:ligatures w14:val="none"/>
        </w:rPr>
        <w:t>Acknowledges the learning experience that occurred and establishes goals for future action in the learning process</w:t>
      </w:r>
    </w:p>
    <w:p w14:paraId="6DB7EB70" w14:textId="77777777" w:rsidR="005367C0" w:rsidRPr="005367C0" w:rsidRDefault="005367C0" w:rsidP="005367C0">
      <w:pPr>
        <w:spacing w:before="120" w:after="120" w:line="240" w:lineRule="auto"/>
        <w:ind w:left="720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Guiding Questions:</w:t>
      </w:r>
    </w:p>
    <w:p w14:paraId="43D0184E" w14:textId="77777777" w:rsidR="005367C0" w:rsidRPr="005367C0" w:rsidRDefault="005367C0" w:rsidP="005367C0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What did you learn?</w:t>
      </w:r>
    </w:p>
    <w:p w14:paraId="2141427A" w14:textId="77777777" w:rsidR="005367C0" w:rsidRPr="005367C0" w:rsidRDefault="005367C0" w:rsidP="005367C0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How did you learn it?</w:t>
      </w:r>
    </w:p>
    <w:p w14:paraId="5FA00980" w14:textId="77777777" w:rsidR="005367C0" w:rsidRPr="005367C0" w:rsidRDefault="005367C0" w:rsidP="005367C0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Why does it matter?</w:t>
      </w:r>
    </w:p>
    <w:p w14:paraId="199962C5" w14:textId="77777777" w:rsidR="005367C0" w:rsidRPr="005367C0" w:rsidRDefault="005367C0" w:rsidP="005367C0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will I do </w:t>
      </w:r>
      <w:proofErr w:type="gramStart"/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in light of</w:t>
      </w:r>
      <w:proofErr w:type="gramEnd"/>
      <w:r w:rsidRPr="005367C0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it?</w:t>
      </w:r>
    </w:p>
    <w:p w14:paraId="2C6EEF4B" w14:textId="77777777" w:rsidR="005367C0" w:rsidRPr="005367C0" w:rsidRDefault="005367C0" w:rsidP="005367C0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  <w:sectPr w:rsidR="005367C0" w:rsidRPr="005367C0" w:rsidSect="005367C0">
          <w:headerReference w:type="default" r:id="rId5"/>
          <w:headerReference w:type="first" r:id="rId6"/>
          <w:footerReference w:type="firs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4"/>
        <w:gridCol w:w="3828"/>
        <w:gridCol w:w="3652"/>
        <w:gridCol w:w="3206"/>
      </w:tblGrid>
      <w:tr w:rsidR="005367C0" w:rsidRPr="005367C0" w14:paraId="3E03F1EB" w14:textId="77777777" w:rsidTr="003B3813">
        <w:trPr>
          <w:trHeight w:val="274"/>
        </w:trPr>
        <w:tc>
          <w:tcPr>
            <w:tcW w:w="874" w:type="pct"/>
          </w:tcPr>
          <w:p w14:paraId="36DECDEA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b/>
                <w:sz w:val="20"/>
                <w:szCs w:val="20"/>
              </w:rPr>
            </w:pPr>
            <w:r w:rsidRPr="005367C0">
              <w:rPr>
                <w:rFonts w:ascii="Open Sans" w:eastAsia="Calibri" w:hAnsi="Open Sans" w:cs="Arial"/>
                <w:b/>
                <w:sz w:val="20"/>
                <w:szCs w:val="20"/>
              </w:rPr>
              <w:lastRenderedPageBreak/>
              <w:t>Criteria</w:t>
            </w:r>
          </w:p>
        </w:tc>
        <w:tc>
          <w:tcPr>
            <w:tcW w:w="1478" w:type="pct"/>
          </w:tcPr>
          <w:p w14:paraId="1C8E504B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b/>
                <w:sz w:val="20"/>
                <w:szCs w:val="20"/>
              </w:rPr>
            </w:pPr>
            <w:r w:rsidRPr="005367C0">
              <w:rPr>
                <w:rFonts w:ascii="Open Sans" w:eastAsia="Calibri" w:hAnsi="Open Sans" w:cs="Arial"/>
                <w:b/>
                <w:sz w:val="20"/>
                <w:szCs w:val="20"/>
              </w:rPr>
              <w:t xml:space="preserve">Advanced </w:t>
            </w:r>
          </w:p>
        </w:tc>
        <w:tc>
          <w:tcPr>
            <w:tcW w:w="1410" w:type="pct"/>
          </w:tcPr>
          <w:p w14:paraId="1AAB0F43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b/>
                <w:sz w:val="20"/>
                <w:szCs w:val="20"/>
              </w:rPr>
            </w:pPr>
            <w:r w:rsidRPr="005367C0">
              <w:rPr>
                <w:rFonts w:ascii="Open Sans" w:eastAsia="Calibri" w:hAnsi="Open Sans" w:cs="Arial"/>
                <w:b/>
                <w:sz w:val="20"/>
                <w:szCs w:val="20"/>
              </w:rPr>
              <w:t xml:space="preserve">Accomplished </w:t>
            </w:r>
          </w:p>
        </w:tc>
        <w:tc>
          <w:tcPr>
            <w:tcW w:w="1238" w:type="pct"/>
          </w:tcPr>
          <w:p w14:paraId="2F7531CA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b/>
                <w:sz w:val="20"/>
                <w:szCs w:val="20"/>
              </w:rPr>
            </w:pPr>
            <w:r w:rsidRPr="005367C0">
              <w:rPr>
                <w:rFonts w:ascii="Open Sans" w:eastAsia="Calibri" w:hAnsi="Open Sans" w:cs="Arial"/>
                <w:b/>
                <w:sz w:val="20"/>
                <w:szCs w:val="20"/>
              </w:rPr>
              <w:t xml:space="preserve">Developing </w:t>
            </w:r>
          </w:p>
        </w:tc>
      </w:tr>
      <w:tr w:rsidR="005367C0" w:rsidRPr="005367C0" w14:paraId="0383F51D" w14:textId="77777777" w:rsidTr="003B3813">
        <w:trPr>
          <w:trHeight w:val="3254"/>
        </w:trPr>
        <w:tc>
          <w:tcPr>
            <w:tcW w:w="874" w:type="pct"/>
          </w:tcPr>
          <w:p w14:paraId="38648E8D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>Describes experience in an objective and detailed manner</w:t>
            </w:r>
          </w:p>
        </w:tc>
        <w:tc>
          <w:tcPr>
            <w:tcW w:w="1478" w:type="pct"/>
          </w:tcPr>
          <w:p w14:paraId="04BD8A52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Describes the experience in an objective manner, with detailed reference to the events and activities they observed, including the actions of others. </w:t>
            </w:r>
          </w:p>
          <w:p w14:paraId="7670301F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Pays particular attention to who was and was not present, what others did and did not do, yet avoids interpreting those actions. </w:t>
            </w:r>
          </w:p>
          <w:p w14:paraId="48F30847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>Describes their personal roles and responsibilities, and how they contributed to the outcome of events.</w:t>
            </w:r>
          </w:p>
        </w:tc>
        <w:tc>
          <w:tcPr>
            <w:tcW w:w="1410" w:type="pct"/>
          </w:tcPr>
          <w:p w14:paraId="2E915EBD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>Describes the experience with detailed references to the events and activities they observed, including the actions of others.</w:t>
            </w:r>
          </w:p>
          <w:p w14:paraId="19EC556D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>Describes their personal roles and responsibilities and how they contributed to the outcome of events.</w:t>
            </w:r>
          </w:p>
        </w:tc>
        <w:tc>
          <w:tcPr>
            <w:tcW w:w="1238" w:type="pct"/>
          </w:tcPr>
          <w:p w14:paraId="1A95E521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Describes the experience with reference to the events and activities they observed, as well as their personal roles and responsibilities </w:t>
            </w:r>
          </w:p>
        </w:tc>
      </w:tr>
      <w:tr w:rsidR="005367C0" w:rsidRPr="005367C0" w14:paraId="7ACCB355" w14:textId="77777777" w:rsidTr="003B3813">
        <w:trPr>
          <w:trHeight w:val="2110"/>
        </w:trPr>
        <w:tc>
          <w:tcPr>
            <w:tcW w:w="874" w:type="pct"/>
          </w:tcPr>
          <w:p w14:paraId="785F1001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Examines experience </w:t>
            </w:r>
            <w:proofErr w:type="gramStart"/>
            <w:r w:rsidRPr="005367C0">
              <w:rPr>
                <w:rFonts w:ascii="Open Sans" w:eastAsia="Calibri" w:hAnsi="Open Sans" w:cs="Arial"/>
                <w:sz w:val="19"/>
                <w:szCs w:val="19"/>
              </w:rPr>
              <w:t>in light of</w:t>
            </w:r>
            <w:proofErr w:type="gramEnd"/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 specific learning goals or objectives</w:t>
            </w:r>
          </w:p>
        </w:tc>
        <w:tc>
          <w:tcPr>
            <w:tcW w:w="1478" w:type="pct"/>
          </w:tcPr>
          <w:p w14:paraId="71F5F896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Examines which internal (i.e. personal characteristics) and external factors (i.e. peers, instructors, environment) were most significant to achieving learning goals and evaluates which factors posted the great challenges </w:t>
            </w:r>
            <w:proofErr w:type="gramStart"/>
            <w:r w:rsidRPr="005367C0">
              <w:rPr>
                <w:rFonts w:ascii="Open Sans" w:eastAsia="Calibri" w:hAnsi="Open Sans" w:cs="Arial"/>
                <w:sz w:val="19"/>
                <w:szCs w:val="19"/>
              </w:rPr>
              <w:t>in light of</w:t>
            </w:r>
            <w:proofErr w:type="gramEnd"/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 achieving specific learning goals.</w:t>
            </w:r>
          </w:p>
        </w:tc>
        <w:tc>
          <w:tcPr>
            <w:tcW w:w="1410" w:type="pct"/>
          </w:tcPr>
          <w:p w14:paraId="044E8702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>Examines internal (i.e. personal characteristics) and external factors (i.e. peers, instructors, environment) that contributed to achieving their learning goals.</w:t>
            </w:r>
          </w:p>
          <w:p w14:paraId="539E1C96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Identifies challenges </w:t>
            </w:r>
            <w:proofErr w:type="gramStart"/>
            <w:r w:rsidRPr="005367C0">
              <w:rPr>
                <w:rFonts w:ascii="Open Sans" w:eastAsia="Calibri" w:hAnsi="Open Sans" w:cs="Arial"/>
                <w:sz w:val="19"/>
                <w:szCs w:val="19"/>
              </w:rPr>
              <w:t>in light of</w:t>
            </w:r>
            <w:proofErr w:type="gramEnd"/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 achieving specific learning goals. </w:t>
            </w:r>
          </w:p>
        </w:tc>
        <w:tc>
          <w:tcPr>
            <w:tcW w:w="1238" w:type="pct"/>
          </w:tcPr>
          <w:p w14:paraId="73BB7D8E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>Examines the ways in which they succeeded or did well in the experience, and what challenges they faced.</w:t>
            </w:r>
          </w:p>
        </w:tc>
      </w:tr>
      <w:tr w:rsidR="005367C0" w:rsidRPr="005367C0" w14:paraId="722F0BA5" w14:textId="77777777" w:rsidTr="003B3813">
        <w:trPr>
          <w:trHeight w:val="699"/>
        </w:trPr>
        <w:tc>
          <w:tcPr>
            <w:tcW w:w="874" w:type="pct"/>
          </w:tcPr>
          <w:p w14:paraId="1A08C2BC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Articulates learning, including goals for future action that can be taken forward into the next experience </w:t>
            </w:r>
          </w:p>
        </w:tc>
        <w:tc>
          <w:tcPr>
            <w:tcW w:w="1478" w:type="pct"/>
          </w:tcPr>
          <w:p w14:paraId="5D236DB4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Articulates how their prior theoretical knowledge or skills were expanded, challenged or developed as a result of the experience and sets specific </w:t>
            </w:r>
            <w:proofErr w:type="gramStart"/>
            <w:r w:rsidRPr="005367C0">
              <w:rPr>
                <w:rFonts w:ascii="Open Sans" w:eastAsia="Calibri" w:hAnsi="Open Sans" w:cs="Arial"/>
                <w:sz w:val="19"/>
                <w:szCs w:val="19"/>
              </w:rPr>
              <w:t>short and long term</w:t>
            </w:r>
            <w:proofErr w:type="gramEnd"/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 goals for applying learning in the future.</w:t>
            </w:r>
          </w:p>
          <w:p w14:paraId="33347034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>Considers the benefits and challenges associated with fulfilling these goals.</w:t>
            </w:r>
          </w:p>
        </w:tc>
        <w:tc>
          <w:tcPr>
            <w:tcW w:w="1410" w:type="pct"/>
          </w:tcPr>
          <w:p w14:paraId="7DC13E3F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Articulates what theoretical knowledge or skills they gained as a result of the experience and sets specific </w:t>
            </w:r>
            <w:proofErr w:type="gramStart"/>
            <w:r w:rsidRPr="005367C0">
              <w:rPr>
                <w:rFonts w:ascii="Open Sans" w:eastAsia="Calibri" w:hAnsi="Open Sans" w:cs="Arial"/>
                <w:sz w:val="19"/>
                <w:szCs w:val="19"/>
              </w:rPr>
              <w:t>short and long term</w:t>
            </w:r>
            <w:proofErr w:type="gramEnd"/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 goals for applying learning in the future.  </w:t>
            </w:r>
          </w:p>
        </w:tc>
        <w:tc>
          <w:tcPr>
            <w:tcW w:w="1238" w:type="pct"/>
          </w:tcPr>
          <w:p w14:paraId="797E0266" w14:textId="77777777" w:rsidR="005367C0" w:rsidRPr="005367C0" w:rsidRDefault="005367C0" w:rsidP="005367C0">
            <w:pPr>
              <w:spacing w:after="120"/>
              <w:rPr>
                <w:rFonts w:ascii="Open Sans" w:eastAsia="Calibri" w:hAnsi="Open Sans" w:cs="Arial"/>
                <w:sz w:val="19"/>
                <w:szCs w:val="19"/>
              </w:rPr>
            </w:pPr>
            <w:r w:rsidRPr="005367C0">
              <w:rPr>
                <w:rFonts w:ascii="Open Sans" w:eastAsia="Calibri" w:hAnsi="Open Sans" w:cs="Arial"/>
                <w:sz w:val="19"/>
                <w:szCs w:val="19"/>
              </w:rPr>
              <w:t xml:space="preserve">Articulates what situations, tasks, or activities contributed to their learning during the experience and sets goals for applying learning in the future.  </w:t>
            </w:r>
          </w:p>
        </w:tc>
      </w:tr>
    </w:tbl>
    <w:p w14:paraId="11DEBE3E" w14:textId="77777777" w:rsidR="005367C0" w:rsidRPr="005367C0" w:rsidRDefault="005367C0" w:rsidP="005367C0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04C089E8" w14:textId="72C18ADE" w:rsidR="007975BC" w:rsidRPr="005367C0" w:rsidRDefault="005367C0" w:rsidP="005367C0">
      <w:pPr>
        <w:spacing w:after="120" w:line="240" w:lineRule="auto"/>
        <w:rPr>
          <w:rFonts w:ascii="Open Sans" w:eastAsia="Calibri" w:hAnsi="Open Sans" w:cs="Arial"/>
          <w:i/>
          <w:kern w:val="0"/>
          <w:sz w:val="20"/>
          <w:szCs w:val="20"/>
          <w14:ligatures w14:val="none"/>
        </w:rPr>
      </w:pPr>
      <w:r w:rsidRPr="005367C0">
        <w:rPr>
          <w:rFonts w:ascii="Open Sans" w:eastAsia="Calibri" w:hAnsi="Open Sans" w:cs="Arial"/>
          <w:kern w:val="0"/>
          <w:sz w:val="20"/>
          <w:szCs w:val="20"/>
          <w14:ligatures w14:val="none"/>
        </w:rPr>
        <w:t xml:space="preserve">Adapted from: Ash, S.L. &amp; Clayton, P.H. (2009) Generating, deepening, and documenting learning: the power of critical reflection in applied learning.  </w:t>
      </w:r>
      <w:r w:rsidRPr="005367C0">
        <w:rPr>
          <w:rFonts w:ascii="Open Sans" w:eastAsia="Calibri" w:hAnsi="Open Sans" w:cs="Arial"/>
          <w:i/>
          <w:kern w:val="0"/>
          <w:sz w:val="20"/>
          <w:szCs w:val="20"/>
          <w14:ligatures w14:val="none"/>
        </w:rPr>
        <w:t>Journal of Applied Learning in Higher Education</w:t>
      </w:r>
      <w:r w:rsidRPr="005367C0">
        <w:rPr>
          <w:rFonts w:ascii="Open Sans" w:eastAsia="Calibri" w:hAnsi="Open Sans" w:cs="Arial"/>
          <w:kern w:val="0"/>
          <w:sz w:val="20"/>
          <w:szCs w:val="20"/>
          <w14:ligatures w14:val="none"/>
        </w:rPr>
        <w:t xml:space="preserve">, </w:t>
      </w:r>
      <w:r w:rsidRPr="005367C0">
        <w:rPr>
          <w:rFonts w:ascii="Open Sans" w:eastAsia="Calibri" w:hAnsi="Open Sans" w:cs="Arial"/>
          <w:i/>
          <w:kern w:val="0"/>
          <w:sz w:val="20"/>
          <w:szCs w:val="20"/>
          <w14:ligatures w14:val="none"/>
        </w:rPr>
        <w:t>I</w:t>
      </w:r>
      <w:r w:rsidRPr="005367C0">
        <w:rPr>
          <w:rFonts w:ascii="Open Sans" w:eastAsia="Calibri" w:hAnsi="Open Sans" w:cs="Arial"/>
          <w:kern w:val="0"/>
          <w:sz w:val="20"/>
          <w:szCs w:val="20"/>
          <w14:ligatures w14:val="none"/>
        </w:rPr>
        <w:t>, 25-48.</w:t>
      </w:r>
    </w:p>
    <w:sectPr w:rsidR="007975BC" w:rsidRPr="005367C0" w:rsidSect="005367C0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9E428" w14:textId="77777777" w:rsidR="00000000" w:rsidRPr="006C7129" w:rsidRDefault="00000000" w:rsidP="00E91A39">
    <w:pPr>
      <w:pStyle w:val="Footer"/>
    </w:pPr>
    <w:r w:rsidRPr="006628F5">
      <w:rPr>
        <w:rFonts w:ascii="Myriad Pro" w:hAnsi="Myriad Pro"/>
        <w:noProof/>
        <w:sz w:val="24"/>
        <w:lang w:val="en-CA" w:eastAsia="en-CA"/>
      </w:rPr>
      <w:drawing>
        <wp:anchor distT="0" distB="0" distL="114300" distR="114300" simplePos="0" relativeHeight="251661312" behindDoc="1" locked="0" layoutInCell="1" allowOverlap="1" wp14:anchorId="5D693FE4" wp14:editId="29C4EF29">
          <wp:simplePos x="0" y="0"/>
          <wp:positionH relativeFrom="column">
            <wp:posOffset>2705100</wp:posOffset>
          </wp:positionH>
          <wp:positionV relativeFrom="page">
            <wp:posOffset>6724650</wp:posOffset>
          </wp:positionV>
          <wp:extent cx="8919845" cy="1311275"/>
          <wp:effectExtent l="0" t="0" r="0" b="3175"/>
          <wp:wrapNone/>
          <wp:docPr id="758426074" name="Picture 7584260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426074" name="Picture 7584260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8919845" cy="131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Experiential Learning Faculty Toolkit – </w:t>
    </w:r>
    <w:r w:rsidRPr="00A434F6">
      <w:t>DEAL Model in Short</w:t>
    </w:r>
    <w:r>
      <w:t xml:space="preserve"> </w:t>
    </w:r>
    <w:r w:rsidRPr="006C7129">
      <w:t xml:space="preserve">| </w:t>
    </w:r>
    <w:sdt>
      <w:sdtPr>
        <w:id w:val="-14875505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7129">
          <w:fldChar w:fldCharType="begin"/>
        </w:r>
        <w:r w:rsidRPr="006C7129">
          <w:instrText xml:space="preserve"> PAGE   \* MERGEFORMAT </w:instrText>
        </w:r>
        <w:r w:rsidRPr="006C7129">
          <w:fldChar w:fldCharType="separate"/>
        </w:r>
        <w:r>
          <w:rPr>
            <w:noProof/>
          </w:rPr>
          <w:t>43</w:t>
        </w:r>
        <w:r w:rsidRPr="006C7129">
          <w:rPr>
            <w:noProof/>
          </w:rPr>
          <w:fldChar w:fldCharType="end"/>
        </w:r>
      </w:sdtContent>
    </w:sdt>
  </w:p>
  <w:p w14:paraId="7A62C7A4" w14:textId="77777777" w:rsidR="00000000" w:rsidRDefault="00000000" w:rsidP="00E91A3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3C5C" w14:textId="77777777" w:rsidR="00000000" w:rsidRDefault="00000000" w:rsidP="00E91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DE46" w14:textId="77777777" w:rsidR="00000000" w:rsidRDefault="00000000" w:rsidP="00E91A39">
    <w:pPr>
      <w:pStyle w:val="Header"/>
    </w:pPr>
    <w:r w:rsidRPr="006628F5"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92769D" wp14:editId="75DD2505">
          <wp:simplePos x="0" y="0"/>
          <wp:positionH relativeFrom="column">
            <wp:posOffset>-3429635</wp:posOffset>
          </wp:positionH>
          <wp:positionV relativeFrom="paragraph">
            <wp:posOffset>-453873</wp:posOffset>
          </wp:positionV>
          <wp:extent cx="8919845" cy="1311275"/>
          <wp:effectExtent l="0" t="0" r="0" b="3175"/>
          <wp:wrapNone/>
          <wp:docPr id="795864040" name="Picture 7958640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864040" name="Picture 79586404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9845" cy="131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FE235AA" wp14:editId="6431968B">
          <wp:simplePos x="0" y="0"/>
          <wp:positionH relativeFrom="column">
            <wp:posOffset>925320</wp:posOffset>
          </wp:positionH>
          <wp:positionV relativeFrom="paragraph">
            <wp:posOffset>-437515</wp:posOffset>
          </wp:positionV>
          <wp:extent cx="5941060" cy="873760"/>
          <wp:effectExtent l="0" t="0" r="0" b="0"/>
          <wp:wrapNone/>
          <wp:docPr id="850832140" name="Picture 8508321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832140" name="Picture 85083214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C1909"/>
    <w:multiLevelType w:val="hybridMultilevel"/>
    <w:tmpl w:val="5B52B4B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665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25"/>
    <w:rsid w:val="00360EC8"/>
    <w:rsid w:val="005367C0"/>
    <w:rsid w:val="007975BC"/>
    <w:rsid w:val="009F1125"/>
    <w:rsid w:val="009F60D1"/>
    <w:rsid w:val="00B806B1"/>
    <w:rsid w:val="00F2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2AE6"/>
  <w15:chartTrackingRefBased/>
  <w15:docId w15:val="{27A586E1-50E7-4A99-A1DC-C78409D1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1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67C0"/>
    <w:pPr>
      <w:tabs>
        <w:tab w:val="center" w:pos="4680"/>
        <w:tab w:val="right" w:pos="9360"/>
      </w:tabs>
      <w:spacing w:after="0" w:line="240" w:lineRule="auto"/>
    </w:pPr>
    <w:rPr>
      <w:rFonts w:ascii="Open Sans" w:hAnsi="Open Sans"/>
      <w:kern w:val="0"/>
      <w:sz w:val="21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367C0"/>
    <w:rPr>
      <w:rFonts w:ascii="Open Sans" w:hAnsi="Open Sans"/>
      <w:kern w:val="0"/>
      <w:sz w:val="21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67C0"/>
    <w:pPr>
      <w:tabs>
        <w:tab w:val="center" w:pos="4680"/>
        <w:tab w:val="right" w:pos="9360"/>
      </w:tabs>
      <w:spacing w:after="0" w:line="240" w:lineRule="auto"/>
    </w:pPr>
    <w:rPr>
      <w:rFonts w:ascii="Open Sans" w:hAnsi="Open Sans"/>
      <w:kern w:val="0"/>
      <w:sz w:val="21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367C0"/>
    <w:rPr>
      <w:rFonts w:ascii="Open Sans" w:hAnsi="Open Sans"/>
      <w:kern w:val="0"/>
      <w:sz w:val="21"/>
      <w:lang w:val="en-US"/>
      <w14:ligatures w14:val="none"/>
    </w:rPr>
  </w:style>
  <w:style w:type="table" w:styleId="TableGrid">
    <w:name w:val="Table Grid"/>
    <w:basedOn w:val="TableNormal"/>
    <w:uiPriority w:val="39"/>
    <w:rsid w:val="005367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C91E9F9FFFA41B36501DD69C15EC0" ma:contentTypeVersion="18" ma:contentTypeDescription="Create a new document." ma:contentTypeScope="" ma:versionID="4c277f718fde6a7fd77eb5eafae1c139">
  <xsd:schema xmlns:xsd="http://www.w3.org/2001/XMLSchema" xmlns:xs="http://www.w3.org/2001/XMLSchema" xmlns:p="http://schemas.microsoft.com/office/2006/metadata/properties" xmlns:ns2="b40b5c8f-09f1-42a6-b39a-07208dadc956" xmlns:ns3="990a7a19-2eb0-40a5-8356-90290629ea16" targetNamespace="http://schemas.microsoft.com/office/2006/metadata/properties" ma:root="true" ma:fieldsID="71e754bbd57f47f87d025a299ed80e1f" ns2:_="" ns3:_="">
    <xsd:import namespace="b40b5c8f-09f1-42a6-b39a-07208dadc956"/>
    <xsd:import namespace="990a7a19-2eb0-40a5-8356-90290629e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5c8f-09f1-42a6-b39a-07208dadc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d2e69d-a885-47d9-a849-8bc90acf9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a7a19-2eb0-40a5-8356-90290629e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1aeafd-c70f-4994-8db9-1a007e69eedb}" ma:internalName="TaxCatchAll" ma:showField="CatchAllData" ma:web="990a7a19-2eb0-40a5-8356-90290629e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b5c8f-09f1-42a6-b39a-07208dadc956">
      <Terms xmlns="http://schemas.microsoft.com/office/infopath/2007/PartnerControls"/>
    </lcf76f155ced4ddcb4097134ff3c332f>
    <TaxCatchAll xmlns="990a7a19-2eb0-40a5-8356-90290629ea16" xsi:nil="true"/>
  </documentManagement>
</p:properties>
</file>

<file path=customXml/itemProps1.xml><?xml version="1.0" encoding="utf-8"?>
<ds:datastoreItem xmlns:ds="http://schemas.openxmlformats.org/officeDocument/2006/customXml" ds:itemID="{3CB5FFAC-C866-482C-BADE-ED4FAD0EBECE}"/>
</file>

<file path=customXml/itemProps2.xml><?xml version="1.0" encoding="utf-8"?>
<ds:datastoreItem xmlns:ds="http://schemas.openxmlformats.org/officeDocument/2006/customXml" ds:itemID="{A6275073-A22E-4028-BFAA-3AA4FADECF4E}"/>
</file>

<file path=customXml/itemProps3.xml><?xml version="1.0" encoding="utf-8"?>
<ds:datastoreItem xmlns:ds="http://schemas.openxmlformats.org/officeDocument/2006/customXml" ds:itemID="{9AD9D03B-C7CF-44F0-90F4-248836B7B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Fizzell</dc:creator>
  <cp:keywords/>
  <dc:description/>
  <cp:lastModifiedBy>Kathryn Fizzell</cp:lastModifiedBy>
  <cp:revision>2</cp:revision>
  <dcterms:created xsi:type="dcterms:W3CDTF">2024-06-04T18:39:00Z</dcterms:created>
  <dcterms:modified xsi:type="dcterms:W3CDTF">2024-06-04T18:40:00Z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0x010100759C91E9F9FFFA41B36501DD69C15EC0</vt:lpwstr>
  </property>
</Properties>
</file>