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29481" w14:textId="5E02137F" w:rsidR="005C43C4" w:rsidRPr="00960F0E" w:rsidRDefault="00DF2F85" w:rsidP="005C43C4">
      <w:pPr>
        <w:contextualSpacing/>
        <w:rPr>
          <w:rFonts w:ascii="Century Gothic" w:hAnsi="Century Gothic"/>
          <w:b/>
          <w:color w:val="2F5897"/>
          <w:sz w:val="28"/>
          <w:szCs w:val="28"/>
        </w:rPr>
      </w:pPr>
      <w:r>
        <w:rPr>
          <w:rFonts w:ascii="Century Gothic" w:hAnsi="Century Gothic"/>
          <w:b/>
          <w:color w:val="2F5897"/>
          <w:sz w:val="28"/>
          <w:szCs w:val="28"/>
        </w:rPr>
        <w:t xml:space="preserve">DEPARTMENT OF </w:t>
      </w:r>
      <w:r w:rsidR="005C43C4">
        <w:rPr>
          <w:rFonts w:ascii="Century Gothic" w:hAnsi="Century Gothic"/>
          <w:b/>
          <w:color w:val="2F5897"/>
          <w:sz w:val="28"/>
          <w:szCs w:val="28"/>
        </w:rPr>
        <w:t xml:space="preserve">ART HISTORY &amp; ART </w:t>
      </w:r>
      <w:r w:rsidR="005C43C4" w:rsidRPr="00960F0E">
        <w:rPr>
          <w:rFonts w:ascii="Century Gothic" w:hAnsi="Century Gothic"/>
          <w:b/>
          <w:color w:val="2F5897"/>
          <w:sz w:val="28"/>
          <w:szCs w:val="28"/>
        </w:rPr>
        <w:t>CONSERVATION</w:t>
      </w:r>
    </w:p>
    <w:p w14:paraId="5001BFEA" w14:textId="77777777" w:rsidR="00DF2F85" w:rsidRDefault="00DF2F85" w:rsidP="005C43C4">
      <w:pPr>
        <w:ind w:right="-1583"/>
        <w:contextualSpacing/>
        <w:rPr>
          <w:rFonts w:ascii="Century Gothic" w:hAnsi="Century Gothic"/>
          <w:sz w:val="28"/>
          <w:szCs w:val="28"/>
        </w:rPr>
      </w:pPr>
    </w:p>
    <w:p w14:paraId="620413DF" w14:textId="5360D8A6" w:rsidR="00A30E16" w:rsidRDefault="00DF2F85" w:rsidP="00A30E16">
      <w:pPr>
        <w:ind w:right="-1583"/>
        <w:contextualSpacing/>
        <w:rPr>
          <w:rFonts w:ascii="Century Gothic" w:hAnsi="Century Gothic"/>
          <w:b/>
          <w:bCs/>
          <w:sz w:val="28"/>
          <w:szCs w:val="28"/>
        </w:rPr>
      </w:pPr>
      <w:r w:rsidRPr="009516DC">
        <w:rPr>
          <w:rFonts w:ascii="Century Gothic" w:hAnsi="Century Gothic"/>
          <w:b/>
          <w:bCs/>
          <w:sz w:val="28"/>
          <w:szCs w:val="28"/>
        </w:rPr>
        <w:t xml:space="preserve">ARTH </w:t>
      </w:r>
      <w:r w:rsidR="00962140" w:rsidRPr="009516DC">
        <w:rPr>
          <w:rFonts w:ascii="Century Gothic" w:hAnsi="Century Gothic"/>
          <w:b/>
          <w:bCs/>
          <w:sz w:val="28"/>
          <w:szCs w:val="28"/>
        </w:rPr>
        <w:t>8</w:t>
      </w:r>
      <w:r w:rsidR="003C5F50" w:rsidRPr="009516DC">
        <w:rPr>
          <w:rFonts w:ascii="Century Gothic" w:hAnsi="Century Gothic"/>
          <w:b/>
          <w:bCs/>
          <w:sz w:val="28"/>
          <w:szCs w:val="28"/>
        </w:rPr>
        <w:t>60</w:t>
      </w:r>
      <w:r w:rsidRPr="009516DC">
        <w:rPr>
          <w:rFonts w:ascii="Century Gothic" w:hAnsi="Century Gothic"/>
          <w:b/>
          <w:bCs/>
          <w:sz w:val="28"/>
          <w:szCs w:val="28"/>
        </w:rPr>
        <w:t>/3.0</w:t>
      </w:r>
      <w:r w:rsidR="009516DC" w:rsidRPr="009516DC">
        <w:rPr>
          <w:rFonts w:ascii="Century Gothic" w:hAnsi="Century Gothic"/>
          <w:b/>
          <w:bCs/>
          <w:sz w:val="28"/>
          <w:szCs w:val="28"/>
        </w:rPr>
        <w:t xml:space="preserve">  </w:t>
      </w:r>
      <w:r w:rsidR="00A30E16">
        <w:rPr>
          <w:rFonts w:ascii="Century Gothic" w:hAnsi="Century Gothic"/>
          <w:b/>
          <w:bCs/>
          <w:sz w:val="28"/>
          <w:szCs w:val="28"/>
        </w:rPr>
        <w:t xml:space="preserve">  </w:t>
      </w:r>
      <w:r w:rsidR="003C5F50" w:rsidRPr="009516DC">
        <w:rPr>
          <w:rFonts w:ascii="Century Gothic" w:hAnsi="Century Gothic"/>
          <w:b/>
          <w:bCs/>
          <w:sz w:val="28"/>
          <w:szCs w:val="28"/>
        </w:rPr>
        <w:t>Cultural Heritage Preservation I</w:t>
      </w:r>
      <w:r w:rsidR="003969DA">
        <w:rPr>
          <w:rFonts w:ascii="Century Gothic" w:hAnsi="Century Gothic"/>
          <w:b/>
          <w:bCs/>
          <w:sz w:val="28"/>
          <w:szCs w:val="28"/>
        </w:rPr>
        <w:t>:</w:t>
      </w:r>
      <w:r w:rsidR="009516DC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2F53CCB8" w14:textId="33821D79" w:rsidR="002A1DAA" w:rsidRPr="00F31391" w:rsidRDefault="00640838" w:rsidP="002A1DAA">
      <w:pPr>
        <w:contextualSpacing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Global Case Studies</w:t>
      </w:r>
      <w:r w:rsidR="002A1DAA">
        <w:rPr>
          <w:rFonts w:ascii="Century Gothic" w:hAnsi="Century Gothic"/>
          <w:i/>
          <w:sz w:val="28"/>
          <w:szCs w:val="28"/>
        </w:rPr>
        <w:tab/>
      </w:r>
      <w:r w:rsidR="002A1DAA">
        <w:rPr>
          <w:rFonts w:ascii="Century Gothic" w:hAnsi="Century Gothic"/>
          <w:i/>
          <w:sz w:val="28"/>
          <w:szCs w:val="28"/>
        </w:rPr>
        <w:tab/>
      </w:r>
      <w:r w:rsidR="003969DA">
        <w:rPr>
          <w:rFonts w:ascii="Century Gothic" w:hAnsi="Century Gothic"/>
          <w:iCs/>
          <w:sz w:val="28"/>
          <w:szCs w:val="28"/>
        </w:rPr>
        <w:t>(</w:t>
      </w:r>
      <w:r w:rsidR="002A1DAA">
        <w:rPr>
          <w:rFonts w:ascii="Century Gothic" w:hAnsi="Century Gothic"/>
          <w:sz w:val="28"/>
          <w:szCs w:val="28"/>
        </w:rPr>
        <w:t>Fall Term 2024</w:t>
      </w:r>
      <w:r w:rsidR="003969DA">
        <w:rPr>
          <w:rFonts w:ascii="Century Gothic" w:hAnsi="Century Gothic"/>
          <w:sz w:val="28"/>
          <w:szCs w:val="28"/>
        </w:rPr>
        <w:t>)</w:t>
      </w:r>
    </w:p>
    <w:p w14:paraId="7255EE46" w14:textId="77777777" w:rsidR="00962140" w:rsidRDefault="00962140" w:rsidP="00962140">
      <w:pPr>
        <w:contextualSpacing/>
        <w:rPr>
          <w:rFonts w:ascii="Calibri" w:hAnsi="Calibri"/>
          <w:color w:val="2F5897"/>
          <w:sz w:val="22"/>
        </w:rPr>
      </w:pPr>
    </w:p>
    <w:p w14:paraId="1C578E6A" w14:textId="307CE451" w:rsidR="00962140" w:rsidRDefault="00A30E16" w:rsidP="005C43C4">
      <w:pPr>
        <w:contextualSpacing/>
        <w:rPr>
          <w:rFonts w:ascii="Calibri" w:hAnsi="Calibri"/>
          <w:sz w:val="22"/>
        </w:rPr>
      </w:pPr>
      <w:r w:rsidRPr="0076576B">
        <w:rPr>
          <w:rFonts w:asciiTheme="minorHAnsi" w:hAnsiTheme="minorHAnsi" w:cstheme="minorHAnsi"/>
          <w:noProof/>
        </w:rPr>
        <w:drawing>
          <wp:inline distT="0" distB="0" distL="0" distR="0" wp14:anchorId="424FCDE5" wp14:editId="124DDAF1">
            <wp:extent cx="3369941" cy="1897038"/>
            <wp:effectExtent l="0" t="0" r="2540" b="8255"/>
            <wp:docPr id="51202" name="Picture 6" descr="Image result for bamiyan buddhas hologram">
              <a:extLst xmlns:a="http://schemas.openxmlformats.org/drawingml/2006/main">
                <a:ext uri="{FF2B5EF4-FFF2-40B4-BE49-F238E27FC236}">
                  <a16:creationId xmlns:a16="http://schemas.microsoft.com/office/drawing/2014/main" id="{FDA64C2F-3CD7-47AC-A724-337361F7B9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6" descr="Image result for bamiyan buddhas hologram">
                      <a:extLst>
                        <a:ext uri="{FF2B5EF4-FFF2-40B4-BE49-F238E27FC236}">
                          <a16:creationId xmlns:a16="http://schemas.microsoft.com/office/drawing/2014/main" id="{FDA64C2F-3CD7-47AC-A724-337361F7B9E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224" cy="191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D2B5" w14:textId="77777777" w:rsidR="00962140" w:rsidRPr="00DC0EAC" w:rsidRDefault="00962140" w:rsidP="005C43C4">
      <w:pPr>
        <w:contextualSpacing/>
        <w:rPr>
          <w:rFonts w:ascii="Calibri" w:hAnsi="Calibri"/>
          <w:sz w:val="22"/>
        </w:rPr>
      </w:pPr>
    </w:p>
    <w:p w14:paraId="723E7A0D" w14:textId="756D5F37" w:rsidR="00514B69" w:rsidRPr="00E22A98" w:rsidRDefault="00514B69">
      <w:pPr>
        <w:contextualSpacing/>
        <w:rPr>
          <w:rFonts w:ascii="Myriad Pro" w:hAnsi="Myriad Pro"/>
          <w:color w:val="2F5897"/>
        </w:rPr>
      </w:pPr>
      <w:r w:rsidRPr="00E22A98">
        <w:rPr>
          <w:rFonts w:ascii="Myriad Pro" w:hAnsi="Myriad Pro"/>
          <w:color w:val="2F5897"/>
        </w:rPr>
        <w:t>_____________________________________________________________________________</w:t>
      </w:r>
      <w:r>
        <w:rPr>
          <w:rFonts w:ascii="Myriad Pro" w:hAnsi="Myriad Pro"/>
          <w:color w:val="2F5897"/>
        </w:rPr>
        <w:t>_</w:t>
      </w:r>
      <w:r w:rsidRPr="00E22A98">
        <w:rPr>
          <w:rFonts w:ascii="Myriad Pro" w:hAnsi="Myriad Pro"/>
          <w:color w:val="2F5897"/>
        </w:rPr>
        <w:t>__</w:t>
      </w:r>
    </w:p>
    <w:p w14:paraId="7D994D39" w14:textId="77777777" w:rsidR="00514B69" w:rsidRPr="00F31391" w:rsidRDefault="00514B69">
      <w:pPr>
        <w:contextualSpacing/>
        <w:rPr>
          <w:rFonts w:ascii="Century Gothic" w:hAnsi="Century Gothic"/>
          <w:color w:val="2F5897"/>
        </w:rPr>
      </w:pPr>
      <w:r w:rsidRPr="00F31391">
        <w:rPr>
          <w:rFonts w:ascii="Century Gothic" w:hAnsi="Century Gothic"/>
          <w:color w:val="2F5897"/>
        </w:rPr>
        <w:t>COURSE DESCRIPTION:</w:t>
      </w:r>
    </w:p>
    <w:p w14:paraId="61622F6E" w14:textId="41F0A2C2" w:rsidR="00640838" w:rsidRPr="00A30E16" w:rsidRDefault="00640838" w:rsidP="00DB5BBF">
      <w:pPr>
        <w:contextualSpacing/>
        <w:rPr>
          <w:rStyle w:val="course-desc1"/>
          <w:rFonts w:asciiTheme="minorHAnsi" w:hAnsiTheme="minorHAnsi" w:cstheme="minorHAnsi"/>
          <w:color w:val="000000"/>
          <w:sz w:val="24"/>
          <w:szCs w:val="24"/>
        </w:rPr>
      </w:pP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As a subject of inquiry, “cultural heritage preservation” involves the damage and destruction of cultural heritage </w:t>
      </w:r>
      <w:proofErr w:type="gramStart"/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as a result of</w:t>
      </w:r>
      <w:proofErr w:type="gramEnd"/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wars, natural disasters, and other circumstances, and human attempts to protect and conserve 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artistic and creative works. The topic also encompasses the critical issue of the theft and restitution of </w:t>
      </w:r>
      <w:r w:rsid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artistic, cultural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and ethnographic </w:t>
      </w:r>
      <w:r w:rsid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materials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.</w:t>
      </w: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In this seminar, we will </w:t>
      </w: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focus on several major </w:t>
      </w:r>
      <w:r w:rsidR="00B734A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case studies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</w:t>
      </w: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from different parts of the 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globe</w:t>
      </w:r>
      <w:r w:rsidR="00B734A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in the late 20</w:t>
      </w:r>
      <w:r w:rsidR="00B734AC" w:rsidRPr="00B734AC">
        <w:rPr>
          <w:rStyle w:val="course-desc1"/>
          <w:rFonts w:asciiTheme="minorHAnsi" w:hAnsiTheme="minorHAnsi" w:cstheme="minorHAnsi"/>
          <w:color w:val="000000"/>
          <w:sz w:val="24"/>
          <w:szCs w:val="24"/>
          <w:vertAlign w:val="superscript"/>
          <w:specVanish w:val="0"/>
        </w:rPr>
        <w:t>th</w:t>
      </w:r>
      <w:r w:rsidR="00B734A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and early 21</w:t>
      </w:r>
      <w:r w:rsidR="00B734AC" w:rsidRPr="00B734AC">
        <w:rPr>
          <w:rStyle w:val="course-desc1"/>
          <w:rFonts w:asciiTheme="minorHAnsi" w:hAnsiTheme="minorHAnsi" w:cstheme="minorHAnsi"/>
          <w:color w:val="000000"/>
          <w:sz w:val="24"/>
          <w:szCs w:val="24"/>
          <w:vertAlign w:val="superscript"/>
          <w:specVanish w:val="0"/>
        </w:rPr>
        <w:t>st</w:t>
      </w:r>
      <w:r w:rsidR="00B734A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centuries</w:t>
      </w: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. Three of the cases to be explored are: the salvage of the Abu Simbel temples in Egypt when the Nile was deliberately flooded (1960s-70s); the </w:t>
      </w:r>
      <w:r w:rsidR="0097258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destruction and </w:t>
      </w: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looting of ancient Khmer temples in Cambodia </w:t>
      </w:r>
      <w:r w:rsidR="0097258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during </w:t>
      </w: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the terrorist rule of the Khmer Rouge (1969-79)</w:t>
      </w:r>
      <w:r w:rsidR="0097258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and the later restoration of temples and restitution of temple sculptures</w:t>
      </w: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; the destruction of the Bamiyan Buddhas by the Taliban </w:t>
      </w:r>
      <w:r w:rsidR="00D80EFE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government</w:t>
      </w: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in Afghanistan in 2001</w:t>
      </w:r>
      <w:r w:rsidR="0097258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and some gestures to recreate the missing figures</w:t>
      </w: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. </w:t>
      </w:r>
      <w:r w:rsidR="0097258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W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e will move </w:t>
      </w:r>
      <w:proofErr w:type="gramStart"/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fairly slowly</w:t>
      </w:r>
      <w:proofErr w:type="gramEnd"/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through </w:t>
      </w:r>
      <w:r w:rsidR="0097258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each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example, and begin by reading about the contextual environment, before turning to the more specific </w:t>
      </w:r>
      <w:r w:rsidR="0097258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heritage 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circumstances. It is important to understand the context – for instance, </w:t>
      </w:r>
      <w:r w:rsidR="009F5FF8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the reason 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why </w:t>
      </w:r>
      <w:r w:rsidR="009F5FF8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the banks of the Nile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in Egypt</w:t>
      </w:r>
      <w:r w:rsidR="009F5FF8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and Sudan were deliberately flooded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– before </w:t>
      </w:r>
      <w:r w:rsidR="009F5FF8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embarking on a consideration of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the heritage events. </w:t>
      </w:r>
      <w:r w:rsidR="0097258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In addition, 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current and close-by examples may be included. For</w:t>
      </w:r>
      <w:r w:rsidR="0097258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instance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, I am thinking that it would be </w:t>
      </w:r>
      <w:r w:rsidR="009F5FF8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important to investigate how 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parts of Notre-Dame Cathedral in Paris</w:t>
      </w:r>
      <w:r w:rsidR="009F5FF8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were recently destroyed by fire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, </w:t>
      </w:r>
      <w:r w:rsidR="009F5FF8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before turning to explore the 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fire in</w:t>
      </w:r>
      <w:r w:rsidR="0097258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June in Toronto</w:t>
      </w:r>
      <w:r w:rsidR="009F5FF8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that devastated</w:t>
      </w:r>
      <w:r w:rsidR="00B20A5B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St. Anne’s </w:t>
      </w:r>
      <w:r w:rsidR="00A30E16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Church and its </w:t>
      </w:r>
      <w:proofErr w:type="spellStart"/>
      <w:r w:rsidR="00A30E16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irreplacable</w:t>
      </w:r>
      <w:proofErr w:type="spellEnd"/>
      <w:r w:rsidR="00A30E16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mural paintings.</w:t>
      </w:r>
    </w:p>
    <w:p w14:paraId="580F5A89" w14:textId="77777777" w:rsidR="00640838" w:rsidRDefault="00640838" w:rsidP="00DB5BBF">
      <w:pPr>
        <w:contextualSpacing/>
        <w:rPr>
          <w:rStyle w:val="course-desc1"/>
          <w:rFonts w:asciiTheme="minorHAnsi" w:hAnsiTheme="minorHAnsi" w:cstheme="minorHAnsi"/>
          <w:color w:val="000000"/>
          <w:sz w:val="22"/>
          <w:szCs w:val="22"/>
        </w:rPr>
      </w:pPr>
    </w:p>
    <w:p w14:paraId="721AF954" w14:textId="17F0E9CD" w:rsidR="00514B69" w:rsidRPr="00F31391" w:rsidRDefault="008372D1">
      <w:pPr>
        <w:contextualSpacing/>
        <w:rPr>
          <w:rFonts w:ascii="Century Gothic" w:hAnsi="Century Gothic"/>
          <w:color w:val="2F5897"/>
        </w:rPr>
      </w:pPr>
      <w:r>
        <w:rPr>
          <w:rFonts w:ascii="Century Gothic" w:hAnsi="Century Gothic"/>
          <w:color w:val="2F5897"/>
        </w:rPr>
        <w:t>COURSE REQUIREMENTS:</w:t>
      </w:r>
    </w:p>
    <w:p w14:paraId="7386D0BC" w14:textId="47A0BC33" w:rsidR="0043171A" w:rsidRPr="00A30E16" w:rsidRDefault="0043171A" w:rsidP="0043171A">
      <w:pPr>
        <w:contextualSpacing/>
        <w:rPr>
          <w:rFonts w:asciiTheme="minorHAnsi" w:hAnsiTheme="minorHAnsi" w:cstheme="minorHAnsi"/>
          <w:szCs w:val="24"/>
        </w:rPr>
      </w:pP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In this seminar, clusters of readings</w:t>
      </w:r>
      <w:r w:rsidR="00A30E16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pertinent to general theme</w:t>
      </w:r>
      <w:r w:rsidR="0097258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s</w:t>
      </w:r>
      <w:r w:rsidR="00A30E16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or </w:t>
      </w:r>
      <w:r w:rsidR="0097258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individual</w:t>
      </w:r>
      <w:r w:rsidR="00A30E16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case stud</w:t>
      </w:r>
      <w:r w:rsidR="0097258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ies will spark discussion</w:t>
      </w:r>
      <w:r w:rsidR="00A30E16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. </w:t>
      </w:r>
      <w:r w:rsidR="0097258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Students will present readings and lead some discussions.</w:t>
      </w:r>
      <w:r w:rsidR="00A30E16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</w:t>
      </w: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In addition, </w:t>
      </w:r>
      <w:r w:rsidR="0097258C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each </w:t>
      </w: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student will </w:t>
      </w:r>
      <w:r w:rsidR="00A30E16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pursue a</w:t>
      </w: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research project, which will </w:t>
      </w:r>
      <w:r w:rsidR="00A30E16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>involve</w:t>
      </w: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an</w:t>
      </w:r>
      <w:r w:rsidR="007341A6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annotated bibliography, a</w:t>
      </w: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presentation</w:t>
      </w:r>
      <w:r w:rsidR="00A30E16"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in class</w:t>
      </w:r>
      <w:r w:rsidRPr="00A30E16">
        <w:rPr>
          <w:rStyle w:val="course-desc1"/>
          <w:rFonts w:asciiTheme="minorHAnsi" w:hAnsiTheme="minorHAnsi" w:cstheme="minorHAnsi"/>
          <w:color w:val="000000"/>
          <w:sz w:val="24"/>
          <w:szCs w:val="24"/>
          <w:specVanish w:val="0"/>
        </w:rPr>
        <w:t xml:space="preserve"> and a formal essay.</w:t>
      </w:r>
    </w:p>
    <w:p w14:paraId="083BBDB3" w14:textId="4F57B9FC" w:rsidR="008D44E7" w:rsidRPr="00962140" w:rsidRDefault="008D44E7" w:rsidP="0043171A">
      <w:pPr>
        <w:contextualSpacing/>
        <w:rPr>
          <w:rFonts w:ascii="Calibri" w:hAnsi="Calibri"/>
          <w:color w:val="2F5897"/>
          <w:sz w:val="22"/>
        </w:rPr>
      </w:pPr>
    </w:p>
    <w:sectPr w:rsidR="008D44E7" w:rsidRPr="00962140" w:rsidSect="00A61743">
      <w:type w:val="continuous"/>
      <w:pgSz w:w="12240" w:h="15840"/>
      <w:pgMar w:top="1247" w:right="1247" w:bottom="142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EF"/>
    <w:rsid w:val="00072C25"/>
    <w:rsid w:val="000B1401"/>
    <w:rsid w:val="000E096F"/>
    <w:rsid w:val="00177340"/>
    <w:rsid w:val="00191789"/>
    <w:rsid w:val="0026357C"/>
    <w:rsid w:val="002A1DAA"/>
    <w:rsid w:val="003533E8"/>
    <w:rsid w:val="003969DA"/>
    <w:rsid w:val="00396B4E"/>
    <w:rsid w:val="003B1291"/>
    <w:rsid w:val="003C5F50"/>
    <w:rsid w:val="003C6B97"/>
    <w:rsid w:val="0043171A"/>
    <w:rsid w:val="004604EF"/>
    <w:rsid w:val="00474740"/>
    <w:rsid w:val="004942AE"/>
    <w:rsid w:val="004B3A5B"/>
    <w:rsid w:val="004C1227"/>
    <w:rsid w:val="0051297C"/>
    <w:rsid w:val="00514B69"/>
    <w:rsid w:val="00526B81"/>
    <w:rsid w:val="005B5611"/>
    <w:rsid w:val="005C43C4"/>
    <w:rsid w:val="005E5903"/>
    <w:rsid w:val="005E6603"/>
    <w:rsid w:val="005F023D"/>
    <w:rsid w:val="00614FB8"/>
    <w:rsid w:val="00640838"/>
    <w:rsid w:val="007341A6"/>
    <w:rsid w:val="007424C2"/>
    <w:rsid w:val="007F4F2A"/>
    <w:rsid w:val="0082100B"/>
    <w:rsid w:val="008372D1"/>
    <w:rsid w:val="00861BDF"/>
    <w:rsid w:val="008A0320"/>
    <w:rsid w:val="008D44E7"/>
    <w:rsid w:val="009079D7"/>
    <w:rsid w:val="009516DC"/>
    <w:rsid w:val="00962140"/>
    <w:rsid w:val="0097258C"/>
    <w:rsid w:val="00983A7F"/>
    <w:rsid w:val="009F1A40"/>
    <w:rsid w:val="009F5887"/>
    <w:rsid w:val="009F5FF8"/>
    <w:rsid w:val="00A30E16"/>
    <w:rsid w:val="00A61743"/>
    <w:rsid w:val="00B001FE"/>
    <w:rsid w:val="00B20A5B"/>
    <w:rsid w:val="00B734AC"/>
    <w:rsid w:val="00BC251C"/>
    <w:rsid w:val="00C07008"/>
    <w:rsid w:val="00C147E3"/>
    <w:rsid w:val="00CD0AED"/>
    <w:rsid w:val="00D257CE"/>
    <w:rsid w:val="00D80EFE"/>
    <w:rsid w:val="00DB5BBF"/>
    <w:rsid w:val="00DC0EAC"/>
    <w:rsid w:val="00DF2F85"/>
    <w:rsid w:val="00DF746D"/>
    <w:rsid w:val="00F52B63"/>
    <w:rsid w:val="00F9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70F4E"/>
  <w14:defaultImageDpi w14:val="300"/>
  <w15:docId w15:val="{87CCEEC3-F06B-42CF-9CF0-9FB59CE8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alatino Linotype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C8"/>
    <w:pPr>
      <w:spacing w:after="200"/>
    </w:pPr>
    <w:rPr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A9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2A98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DF2F85"/>
    <w:rPr>
      <w:color w:val="0563C1" w:themeColor="hyperlink"/>
      <w:u w:val="single"/>
    </w:rPr>
  </w:style>
  <w:style w:type="character" w:customStyle="1" w:styleId="course-desc1">
    <w:name w:val="course-desc1"/>
    <w:rsid w:val="00962140"/>
    <w:rPr>
      <w:rFonts w:ascii="Trebuchet MS" w:hAnsi="Trebuchet MS" w:hint="default"/>
      <w:b w:val="0"/>
      <w:bCs w:val="0"/>
      <w:i w:val="0"/>
      <w:iCs w:val="0"/>
      <w:vanish w:val="0"/>
      <w:webHidden w:val="0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Hoeniger</dc:creator>
  <cp:keywords/>
  <dc:description/>
  <cp:lastModifiedBy>Bethany Pawliuk</cp:lastModifiedBy>
  <cp:revision>2</cp:revision>
  <cp:lastPrinted>2018-06-07T16:28:00Z</cp:lastPrinted>
  <dcterms:created xsi:type="dcterms:W3CDTF">2024-08-09T13:07:00Z</dcterms:created>
  <dcterms:modified xsi:type="dcterms:W3CDTF">2024-08-09T13:07:00Z</dcterms:modified>
</cp:coreProperties>
</file>