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7603" w14:textId="77777777" w:rsidR="006A7207" w:rsidRPr="006A7207" w:rsidRDefault="006A7207" w:rsidP="006A7207">
      <w:pPr>
        <w:widowControl w:val="0"/>
        <w:tabs>
          <w:tab w:val="left" w:pos="720"/>
          <w:tab w:val="left" w:pos="1620"/>
          <w:tab w:val="left" w:pos="7200"/>
        </w:tabs>
        <w:spacing w:after="0" w:line="280" w:lineRule="atLeast"/>
        <w:rPr>
          <w:rFonts w:ascii="Palatino Linotype" w:eastAsia="Times New Roman" w:hAnsi="Palatino Linotype" w:cs="Arial"/>
          <w:szCs w:val="20"/>
          <w:lang w:val="en-US"/>
        </w:rPr>
      </w:pPr>
      <w:r w:rsidRPr="006A7207">
        <w:rPr>
          <w:rFonts w:ascii="Palatino Linotype" w:eastAsia="Times New Roman" w:hAnsi="Palatino Linotype" w:cs="Arial"/>
          <w:szCs w:val="20"/>
          <w:lang w:val="en-US"/>
        </w:rPr>
        <w:tab/>
      </w:r>
      <w:r w:rsidRPr="006A7207">
        <w:rPr>
          <w:rFonts w:ascii="Palatino Linotype" w:eastAsia="Times New Roman" w:hAnsi="Palatino Linotype" w:cs="Arial"/>
          <w:noProof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43B4" wp14:editId="09680242">
                <wp:simplePos x="0" y="0"/>
                <wp:positionH relativeFrom="column">
                  <wp:posOffset>4152900</wp:posOffset>
                </wp:positionH>
                <wp:positionV relativeFrom="paragraph">
                  <wp:posOffset>128905</wp:posOffset>
                </wp:positionV>
                <wp:extent cx="1342390" cy="892175"/>
                <wp:effectExtent l="9525" t="825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E473" w14:textId="77777777" w:rsidR="006A7207" w:rsidRDefault="006A7207" w:rsidP="006A7207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293A7B2" wp14:editId="15950AFE">
                                  <wp:extent cx="1152525" cy="790575"/>
                                  <wp:effectExtent l="0" t="0" r="9525" b="9525"/>
                                  <wp:docPr id="3" name="Picture 3" descr="QL-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L-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E4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10.15pt;width:105.7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" strokecolor="white">
                <v:textbox>
                  <w:txbxContent>
                    <w:p w14:paraId="36C5E473" w14:textId="77777777" w:rsidR="006A7207" w:rsidRDefault="006A7207" w:rsidP="006A7207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293A7B2" wp14:editId="15950AFE">
                            <wp:extent cx="1152525" cy="790575"/>
                            <wp:effectExtent l="0" t="0" r="9525" b="9525"/>
                            <wp:docPr id="3" name="Picture 3" descr="QL-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L-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630C5B" w14:textId="77777777" w:rsidR="006A7207" w:rsidRPr="006A7207" w:rsidRDefault="006A7207" w:rsidP="006A7207">
      <w:pPr>
        <w:widowControl w:val="0"/>
        <w:tabs>
          <w:tab w:val="left" w:pos="720"/>
          <w:tab w:val="left" w:pos="1620"/>
          <w:tab w:val="left" w:pos="7200"/>
        </w:tabs>
        <w:spacing w:after="0" w:line="280" w:lineRule="atLeast"/>
        <w:rPr>
          <w:rFonts w:ascii="Palatino Linotype" w:eastAsia="Times New Roman" w:hAnsi="Palatino Linotype" w:cs="Arial"/>
          <w:szCs w:val="20"/>
          <w:lang w:val="en-US"/>
        </w:rPr>
      </w:pPr>
    </w:p>
    <w:p w14:paraId="0ADDF2E7" w14:textId="77777777" w:rsidR="006A7207" w:rsidRPr="006A7207" w:rsidRDefault="006A7207" w:rsidP="006A7207">
      <w:pPr>
        <w:widowControl w:val="0"/>
        <w:spacing w:after="0" w:line="280" w:lineRule="atLeast"/>
        <w:rPr>
          <w:rFonts w:ascii="Palatino Linotype" w:eastAsia="Times New Roman" w:hAnsi="Palatino Linotype" w:cs="Times New Roman"/>
          <w:b/>
          <w:sz w:val="32"/>
          <w:szCs w:val="32"/>
          <w:lang w:val="en-US"/>
        </w:rPr>
      </w:pPr>
      <w:r w:rsidRPr="006A7207">
        <w:rPr>
          <w:rFonts w:ascii="Palatino Linotype" w:eastAsia="Times New Roman" w:hAnsi="Palatino Linotype" w:cs="Arial"/>
          <w:szCs w:val="20"/>
          <w:lang w:val="en-US"/>
        </w:rPr>
        <w:tab/>
      </w:r>
    </w:p>
    <w:p w14:paraId="7FBC347F" w14:textId="77777777" w:rsidR="006A7207" w:rsidRPr="006A7207" w:rsidRDefault="006A7207" w:rsidP="006A7207">
      <w:pPr>
        <w:widowControl w:val="0"/>
        <w:spacing w:after="0" w:line="280" w:lineRule="atLeast"/>
        <w:rPr>
          <w:rFonts w:ascii="Palatino Linotype" w:eastAsia="Times New Roman" w:hAnsi="Palatino Linotype" w:cs="Times New Roman"/>
          <w:b/>
          <w:sz w:val="32"/>
          <w:szCs w:val="32"/>
          <w:lang w:val="en-US"/>
        </w:rPr>
      </w:pPr>
    </w:p>
    <w:p w14:paraId="7236EF42" w14:textId="77777777" w:rsidR="006A7207" w:rsidRPr="006A7207" w:rsidRDefault="006A7207" w:rsidP="006A7207">
      <w:pPr>
        <w:widowControl w:val="0"/>
        <w:spacing w:after="0" w:line="320" w:lineRule="atLeast"/>
        <w:ind w:right="180"/>
        <w:jc w:val="right"/>
        <w:rPr>
          <w:rFonts w:ascii="Palatino Linotype" w:eastAsia="Times New Roman" w:hAnsi="Palatino Linotype" w:cs="Times New Roman"/>
          <w:b/>
          <w:sz w:val="22"/>
          <w:lang w:val="en-US"/>
        </w:rPr>
      </w:pPr>
    </w:p>
    <w:p w14:paraId="4085B262" w14:textId="77777777" w:rsidR="006A7207" w:rsidRPr="006A7207" w:rsidRDefault="006A7207" w:rsidP="006A7207">
      <w:pPr>
        <w:widowControl w:val="0"/>
        <w:spacing w:after="0" w:line="320" w:lineRule="atLeast"/>
        <w:ind w:right="180"/>
        <w:rPr>
          <w:rFonts w:ascii="Calibri" w:eastAsia="Times New Roman" w:hAnsi="Calibri" w:cs="Calibri"/>
          <w:b/>
          <w:sz w:val="32"/>
          <w:szCs w:val="32"/>
          <w:lang w:val="en-US"/>
        </w:rPr>
      </w:pPr>
      <w:r w:rsidRPr="006A7207">
        <w:rPr>
          <w:rFonts w:ascii="Calibri" w:eastAsia="Times New Roman" w:hAnsi="Calibri" w:cs="Calibri"/>
          <w:b/>
          <w:sz w:val="32"/>
          <w:szCs w:val="32"/>
          <w:lang w:val="en-US"/>
        </w:rPr>
        <w:t>MINUTES</w:t>
      </w:r>
    </w:p>
    <w:p w14:paraId="641939BC" w14:textId="77777777" w:rsidR="006A7207" w:rsidRPr="006A7207" w:rsidRDefault="006A7207" w:rsidP="006A7207">
      <w:pPr>
        <w:widowControl w:val="0"/>
        <w:spacing w:after="0" w:line="320" w:lineRule="atLeast"/>
        <w:ind w:right="180"/>
        <w:jc w:val="right"/>
        <w:rPr>
          <w:rFonts w:ascii="Calibri" w:eastAsia="Times New Roman" w:hAnsi="Calibri" w:cs="Calibri"/>
          <w:b/>
          <w:bCs/>
          <w:iCs/>
          <w:sz w:val="28"/>
          <w:szCs w:val="28"/>
          <w:lang w:val="en-US"/>
        </w:rPr>
      </w:pPr>
      <w:r w:rsidRPr="006A7207">
        <w:rPr>
          <w:rFonts w:ascii="Calibri" w:eastAsia="Times New Roman" w:hAnsi="Calibri" w:cs="Calibri"/>
          <w:b/>
          <w:sz w:val="28"/>
          <w:szCs w:val="28"/>
          <w:lang w:val="en-US"/>
        </w:rPr>
        <w:t>Vice-Provost (Teaching and Learning)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484"/>
        <w:gridCol w:w="1745"/>
        <w:gridCol w:w="2985"/>
      </w:tblGrid>
      <w:tr w:rsidR="006A7207" w:rsidRPr="006A7207" w14:paraId="1498EB42" w14:textId="77777777" w:rsidTr="00876845">
        <w:trPr>
          <w:trHeight w:val="288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  <w:hideMark/>
          </w:tcPr>
          <w:p w14:paraId="36C8BCDC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Meeting: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1C69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320" w:lineRule="atLeast"/>
              <w:outlineLvl w:val="0"/>
              <w:rPr>
                <w:rFonts w:ascii="Calibri" w:eastAsia="Times New Roman" w:hAnsi="Calibri" w:cs="Calibri"/>
                <w:b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szCs w:val="24"/>
                <w:lang w:val="en-US"/>
              </w:rPr>
              <w:t xml:space="preserve">Academic Integrity Roundtable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  <w:hideMark/>
          </w:tcPr>
          <w:p w14:paraId="4208D5D7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shd w:val="clear" w:color="auto" w:fill="9D1939"/>
                <w:lang w:val="en-US"/>
              </w:rPr>
              <w:t>Date &amp; Time</w:t>
            </w: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: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4C2" w14:textId="71346BE5" w:rsidR="006A7207" w:rsidRPr="006A7207" w:rsidRDefault="00636A32" w:rsidP="00636A32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320" w:lineRule="atLeast"/>
              <w:outlineLvl w:val="0"/>
              <w:rPr>
                <w:rFonts w:ascii="Calibri" w:eastAsia="Times New Roman" w:hAnsi="Calibri" w:cs="Calibri"/>
                <w:b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val="en-US"/>
              </w:rPr>
              <w:t>Thursday February 17, 2022 8:30- 10 a.m.</w:t>
            </w:r>
          </w:p>
        </w:tc>
      </w:tr>
      <w:tr w:rsidR="006A7207" w:rsidRPr="006A7207" w14:paraId="2AF80CAE" w14:textId="77777777" w:rsidTr="00876845">
        <w:trPr>
          <w:trHeight w:val="288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</w:tcPr>
          <w:p w14:paraId="4986024A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Location:</w:t>
            </w:r>
          </w:p>
        </w:tc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BD61" w14:textId="77777777" w:rsidR="006A7207" w:rsidRPr="006A7207" w:rsidRDefault="006A7207" w:rsidP="006A7207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szCs w:val="24"/>
                <w:lang w:val="en-US"/>
              </w:rPr>
              <w:t>Online</w:t>
            </w:r>
          </w:p>
        </w:tc>
      </w:tr>
      <w:tr w:rsidR="006A7207" w:rsidRPr="006A7207" w14:paraId="2338F1FB" w14:textId="77777777" w:rsidTr="00876845">
        <w:trPr>
          <w:trHeight w:val="288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</w:tcPr>
          <w:p w14:paraId="090B2BE8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Chair:</w:t>
            </w:r>
          </w:p>
        </w:tc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99C" w14:textId="08B57352" w:rsidR="006A7207" w:rsidRPr="00091094" w:rsidRDefault="00C6105A" w:rsidP="006A7207">
            <w:pPr>
              <w:spacing w:after="0" w:line="240" w:lineRule="auto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bCs/>
                <w:szCs w:val="24"/>
                <w:lang w:val="en-US"/>
              </w:rPr>
              <w:t>Klodiana Kolomitro, Associate Vice-Principal (Teaching and Learning)</w:t>
            </w:r>
            <w:r w:rsidR="006A7207" w:rsidRPr="00091094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(Teaching and Learning)</w:t>
            </w:r>
          </w:p>
        </w:tc>
      </w:tr>
      <w:tr w:rsidR="006A7207" w:rsidRPr="006A7207" w14:paraId="59A603F5" w14:textId="77777777" w:rsidTr="00876845">
        <w:trPr>
          <w:trHeight w:val="454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  <w:hideMark/>
          </w:tcPr>
          <w:p w14:paraId="5AA7EAD8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Members</w:t>
            </w:r>
          </w:p>
          <w:p w14:paraId="76E9574D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Present: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9FDE4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Harry Smith (Business)</w:t>
            </w:r>
          </w:p>
          <w:p w14:paraId="729BB42D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Marianna Kontopoulou (FEAS)</w:t>
            </w:r>
          </w:p>
          <w:p w14:paraId="1802F6E0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Nancy Somers (Law)</w:t>
            </w:r>
          </w:p>
          <w:p w14:paraId="44C5A1E0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Libby Hearn (FAS)</w:t>
            </w:r>
          </w:p>
          <w:p w14:paraId="47827ECA" w14:textId="77777777" w:rsidR="006A7207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Monica Corbett (SGS)</w:t>
            </w:r>
          </w:p>
          <w:p w14:paraId="7F66173E" w14:textId="77777777" w:rsidR="00DC0F57" w:rsidRPr="00091094" w:rsidRDefault="00DC0F57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Lon Knox (University Secretariate)</w:t>
            </w:r>
          </w:p>
          <w:p w14:paraId="0A969CE3" w14:textId="77777777" w:rsidR="0005113B" w:rsidRPr="00091094" w:rsidRDefault="0005113B" w:rsidP="0005113B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Susan Korba (SASS)</w:t>
            </w:r>
          </w:p>
          <w:p w14:paraId="2A49DA68" w14:textId="1AD80AAD" w:rsidR="0005113B" w:rsidRPr="00091094" w:rsidRDefault="0005113B" w:rsidP="0005113B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Alana Korczynski (BHSc &amp; Biochemistry)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188B3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Laura Devenny (AMS)</w:t>
            </w:r>
          </w:p>
          <w:p w14:paraId="7B15F0AC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Jennifer Li (SGPS)</w:t>
            </w:r>
          </w:p>
          <w:p w14:paraId="13BEF8CA" w14:textId="77777777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Stephanie Forster (Student Representative – SCADP Representative)</w:t>
            </w:r>
          </w:p>
          <w:p w14:paraId="34843AC6" w14:textId="77777777" w:rsidR="006A7207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Kimberley Bremner (FEAS)</w:t>
            </w:r>
          </w:p>
          <w:p w14:paraId="4C5450A1" w14:textId="68A7F328" w:rsidR="00DD4EA4" w:rsidRPr="00091094" w:rsidRDefault="00DD4EA4" w:rsidP="00DD4EA4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Andy L</w:t>
            </w:r>
            <w:r w:rsidR="0082109C">
              <w:rPr>
                <w:rFonts w:ascii="Calibri" w:eastAsia="Times New Roman" w:hAnsi="Calibri" w:cs="Calibri"/>
                <w:szCs w:val="24"/>
                <w:lang w:val="en-US"/>
              </w:rPr>
              <w:t>e</w:t>
            </w: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ger (Centre for Teaching and Learning)</w:t>
            </w:r>
          </w:p>
        </w:tc>
      </w:tr>
      <w:tr w:rsidR="006A7207" w:rsidRPr="006A7207" w14:paraId="238A87D6" w14:textId="77777777" w:rsidTr="00876845">
        <w:trPr>
          <w:trHeight w:val="773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</w:tcPr>
          <w:p w14:paraId="50F2B52E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Observers</w:t>
            </w:r>
          </w:p>
          <w:p w14:paraId="0A1D8420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 xml:space="preserve">Present: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CFDBA" w14:textId="4835564F" w:rsidR="006A7207" w:rsidRPr="00091094" w:rsidRDefault="006A7207" w:rsidP="00DC0F57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Lavonne Hood (University Ombudsperson)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E7D52" w14:textId="77777777" w:rsidR="006A7207" w:rsidRPr="00091094" w:rsidRDefault="006A7207" w:rsidP="006A7207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 xml:space="preserve">Mark Swartz (University Librarian Delegate) </w:t>
            </w:r>
          </w:p>
        </w:tc>
      </w:tr>
      <w:tr w:rsidR="006A7207" w:rsidRPr="006A7207" w14:paraId="37700D86" w14:textId="77777777" w:rsidTr="00876845">
        <w:trPr>
          <w:trHeight w:val="454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</w:tcPr>
          <w:p w14:paraId="1489D671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Administrative</w:t>
            </w:r>
          </w:p>
          <w:p w14:paraId="06F45B49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Support</w:t>
            </w:r>
          </w:p>
        </w:tc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5C4" w14:textId="6B9E1A2E" w:rsidR="006A7207" w:rsidRPr="00091094" w:rsidRDefault="00FF20F3" w:rsidP="006A7207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Matt Rahimian</w:t>
            </w:r>
            <w:r w:rsidR="006A7207" w:rsidRPr="00091094">
              <w:rPr>
                <w:rFonts w:ascii="Calibri" w:eastAsia="Times New Roman" w:hAnsi="Calibri" w:cs="Calibri"/>
                <w:szCs w:val="24"/>
                <w:lang w:val="en-US"/>
              </w:rPr>
              <w:t xml:space="preserve"> (Office of the Provost &amp; Vice-Principal Academic)</w:t>
            </w:r>
          </w:p>
        </w:tc>
      </w:tr>
      <w:tr w:rsidR="006A7207" w:rsidRPr="006A7207" w14:paraId="5B482A88" w14:textId="77777777" w:rsidTr="00876845">
        <w:trPr>
          <w:trHeight w:val="454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</w:tcPr>
          <w:p w14:paraId="60C3A80B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Regrets</w:t>
            </w:r>
          </w:p>
        </w:tc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77B" w14:textId="77777777" w:rsidR="00DC0F57" w:rsidRPr="00091094" w:rsidRDefault="00DC0F57" w:rsidP="00DC0F5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Anna Taylor (BISC)</w:t>
            </w:r>
          </w:p>
          <w:p w14:paraId="75B95C08" w14:textId="0C4A17C5" w:rsidR="00DC0F57" w:rsidRPr="00091094" w:rsidRDefault="00DC0F57" w:rsidP="00DC0F5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Leslie Flynn (Health Sciences)</w:t>
            </w:r>
          </w:p>
          <w:p w14:paraId="3C0564D8" w14:textId="77777777" w:rsidR="0005113B" w:rsidRPr="00091094" w:rsidRDefault="0005113B" w:rsidP="0005113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Rebecca Carnevale (Education)</w:t>
            </w:r>
          </w:p>
          <w:p w14:paraId="4D128A15" w14:textId="1E219DEC" w:rsidR="006A7207" w:rsidRPr="00091094" w:rsidRDefault="0005113B" w:rsidP="0005113B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Tracy Brons (FEAS)</w:t>
            </w:r>
          </w:p>
        </w:tc>
      </w:tr>
      <w:tr w:rsidR="006A7207" w:rsidRPr="006A7207" w14:paraId="24298490" w14:textId="77777777" w:rsidTr="00876845">
        <w:trPr>
          <w:trHeight w:val="454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  <w:vAlign w:val="center"/>
          </w:tcPr>
          <w:p w14:paraId="7A949A9D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>Guests</w:t>
            </w:r>
          </w:p>
        </w:tc>
        <w:tc>
          <w:tcPr>
            <w:tcW w:w="4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50E" w14:textId="450BDBF2" w:rsidR="006A7207" w:rsidRPr="00091094" w:rsidRDefault="006A7207" w:rsidP="00850FFD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7200"/>
                <w:tab w:val="right" w:pos="8609"/>
                <w:tab w:val="right" w:pos="9028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091094">
              <w:rPr>
                <w:rFonts w:ascii="Calibri" w:eastAsia="Times New Roman" w:hAnsi="Calibri" w:cs="Calibri"/>
                <w:szCs w:val="24"/>
                <w:lang w:val="en-US"/>
              </w:rPr>
              <w:t>Melissa Seal (Legal Counsel)</w:t>
            </w:r>
            <w:r w:rsidR="00DC0F57" w:rsidRPr="00091094">
              <w:rPr>
                <w:rFonts w:ascii="Calibri" w:eastAsia="Times New Roman" w:hAnsi="Calibri" w:cs="Calibri"/>
                <w:szCs w:val="24"/>
                <w:lang w:val="en-US"/>
              </w:rPr>
              <w:t>, Kelley Packalen (Business)</w:t>
            </w:r>
          </w:p>
        </w:tc>
      </w:tr>
      <w:tr w:rsidR="006A7207" w:rsidRPr="006A7207" w14:paraId="7C95CF95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022" w14:textId="77777777" w:rsidR="006A7207" w:rsidRPr="006A7207" w:rsidRDefault="006A7207" w:rsidP="006A7207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7200"/>
              </w:tabs>
              <w:spacing w:before="240" w:after="0" w:line="320" w:lineRule="atLeast"/>
              <w:outlineLvl w:val="0"/>
              <w:rPr>
                <w:rFonts w:ascii="Calibri" w:eastAsia="Times New Roman" w:hAnsi="Calibri" w:cs="Calibri"/>
                <w:color w:val="365F91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color w:val="365F91"/>
                <w:szCs w:val="24"/>
                <w:lang w:val="en-US"/>
              </w:rPr>
              <w:t xml:space="preserve">Opening </w:t>
            </w:r>
          </w:p>
          <w:p w14:paraId="14DC3E8F" w14:textId="44CBF49A" w:rsidR="006A7207" w:rsidRPr="006A7207" w:rsidRDefault="001D0452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First</w:t>
            </w:r>
            <w:r w:rsidR="006A7207" w:rsidRPr="006A7207">
              <w:rPr>
                <w:rFonts w:ascii="Calibri" w:eastAsia="Times New Roman" w:hAnsi="Calibri" w:cs="Calibri"/>
                <w:szCs w:val="24"/>
                <w:lang w:val="en-US"/>
              </w:rPr>
              <w:t xml:space="preserve">, the </w:t>
            </w:r>
            <w:r w:rsidR="00F46F4F">
              <w:rPr>
                <w:rFonts w:ascii="Calibri" w:eastAsia="Times New Roman" w:hAnsi="Calibri" w:cs="Calibri"/>
                <w:szCs w:val="24"/>
                <w:lang w:val="en-US"/>
              </w:rPr>
              <w:t>c</w:t>
            </w:r>
            <w:r w:rsidR="006A7207" w:rsidRPr="006A7207">
              <w:rPr>
                <w:rFonts w:ascii="Calibri" w:eastAsia="Times New Roman" w:hAnsi="Calibri" w:cs="Calibri"/>
                <w:szCs w:val="24"/>
                <w:lang w:val="en-US"/>
              </w:rPr>
              <w:t xml:space="preserve">hair acknowledged Queen’s University’s presence on the traditional lands of the Haudenosaunee and Anishinaabe peoples. </w:t>
            </w:r>
          </w:p>
          <w:p w14:paraId="60589E22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2B7624E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szCs w:val="24"/>
                <w:lang w:val="en-US"/>
              </w:rPr>
              <w:t xml:space="preserve">A round of introductions was made. </w:t>
            </w:r>
          </w:p>
          <w:p w14:paraId="10433004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320" w:lineRule="atLeast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</w:tc>
      </w:tr>
      <w:tr w:rsidR="006A7207" w:rsidRPr="006A7207" w14:paraId="5B0F33C6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7EF" w14:textId="77777777" w:rsidR="006A7207" w:rsidRPr="006A7207" w:rsidRDefault="006A7207" w:rsidP="006A7207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 xml:space="preserve">Agreement on the Agenda </w:t>
            </w:r>
          </w:p>
          <w:p w14:paraId="11F09898" w14:textId="1331FBB3" w:rsidR="006A7207" w:rsidRPr="006A7207" w:rsidRDefault="001D0452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320" w:lineRule="atLeast"/>
              <w:outlineLvl w:val="0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>The agenda was approved</w:t>
            </w:r>
            <w:r w:rsidR="006A7207" w:rsidRPr="006A7207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as circulated. </w:t>
            </w:r>
          </w:p>
          <w:p w14:paraId="561ABE9B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320" w:lineRule="atLeast"/>
              <w:outlineLvl w:val="0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</w:p>
        </w:tc>
      </w:tr>
      <w:tr w:rsidR="006A7207" w:rsidRPr="006A7207" w14:paraId="4DD089CA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93F" w14:textId="4F56DC94" w:rsidR="006A7207" w:rsidRPr="006A7207" w:rsidRDefault="006A7207" w:rsidP="006A7207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 xml:space="preserve">Agreement on the Minutes of </w:t>
            </w:r>
            <w:r w:rsidR="00F46F4F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November 8, 2021</w:t>
            </w:r>
          </w:p>
          <w:p w14:paraId="0D699952" w14:textId="5F739EE5" w:rsidR="006A7207" w:rsidRPr="006A7207" w:rsidRDefault="006A7207" w:rsidP="006A720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It was agreed to accept the minutes of </w:t>
            </w:r>
            <w:r w:rsidR="00C67F2C">
              <w:rPr>
                <w:rFonts w:ascii="Calibri" w:eastAsia="Times New Roman" w:hAnsi="Calibri" w:cs="Calibri"/>
                <w:bCs/>
                <w:szCs w:val="24"/>
                <w:lang w:val="en-US"/>
              </w:rPr>
              <w:t>November 8</w:t>
            </w:r>
            <w:r w:rsidRPr="006A7207">
              <w:rPr>
                <w:rFonts w:ascii="Calibri" w:eastAsia="Times New Roman" w:hAnsi="Calibri" w:cs="Calibri"/>
                <w:bCs/>
                <w:szCs w:val="24"/>
                <w:lang w:val="en-US"/>
              </w:rPr>
              <w:t>, 202</w:t>
            </w:r>
            <w:r w:rsidR="001D0452">
              <w:rPr>
                <w:rFonts w:ascii="Calibri" w:eastAsia="Times New Roman" w:hAnsi="Calibri" w:cs="Calibri"/>
                <w:bCs/>
                <w:szCs w:val="24"/>
                <w:lang w:val="en-US"/>
              </w:rPr>
              <w:t>1</w:t>
            </w:r>
            <w:r w:rsidR="00F46F4F">
              <w:rPr>
                <w:rFonts w:ascii="Calibri" w:eastAsia="Times New Roman" w:hAnsi="Calibri" w:cs="Calibri"/>
                <w:bCs/>
                <w:szCs w:val="24"/>
                <w:lang w:val="en-US"/>
              </w:rPr>
              <w:t>,</w:t>
            </w:r>
            <w:r w:rsidRPr="006A7207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as circulated. </w:t>
            </w:r>
          </w:p>
          <w:p w14:paraId="272B93C4" w14:textId="77777777" w:rsidR="006A7207" w:rsidRPr="006A7207" w:rsidRDefault="006A7207" w:rsidP="006A720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</w:p>
        </w:tc>
      </w:tr>
      <w:tr w:rsidR="006A7207" w:rsidRPr="006A7207" w14:paraId="4F827AB5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14" w14:textId="77777777" w:rsidR="006A7207" w:rsidRPr="006A7207" w:rsidRDefault="006A7207" w:rsidP="006A7207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szCs w:val="24"/>
                <w:lang w:val="en-US"/>
              </w:rPr>
              <w:lastRenderedPageBreak/>
              <w:t>Chair’s Report</w:t>
            </w:r>
          </w:p>
          <w:p w14:paraId="52DBFA52" w14:textId="09404E80" w:rsidR="001D0452" w:rsidRDefault="006A7207" w:rsidP="006A7207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szCs w:val="24"/>
                <w:lang w:val="en-US"/>
              </w:rPr>
              <w:t xml:space="preserve">The chair </w:t>
            </w:r>
            <w:r w:rsidR="001D0452">
              <w:rPr>
                <w:rFonts w:ascii="Calibri" w:eastAsia="Times New Roman" w:hAnsi="Calibri" w:cs="Calibri"/>
                <w:szCs w:val="24"/>
                <w:lang w:val="en-US"/>
              </w:rPr>
              <w:t xml:space="preserve">reported that 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>there ha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d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 xml:space="preserve"> been an increase in the number of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academic integrity (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>AI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)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 xml:space="preserve"> departures</w:t>
            </w:r>
            <w:r w:rsidR="001D0452">
              <w:rPr>
                <w:rFonts w:ascii="Calibri" w:eastAsia="Times New Roman" w:hAnsi="Calibri" w:cs="Calibri"/>
                <w:szCs w:val="24"/>
                <w:lang w:val="en-US"/>
              </w:rPr>
              <w:t xml:space="preserve">.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O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 xml:space="preserve">ther 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>post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-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>secondary institutions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 xml:space="preserve"> are not</w:t>
            </w:r>
            <w:r w:rsidR="00B60590">
              <w:rPr>
                <w:rFonts w:ascii="Calibri" w:eastAsia="Times New Roman" w:hAnsi="Calibri" w:cs="Calibri"/>
                <w:szCs w:val="24"/>
                <w:lang w:val="en-US"/>
              </w:rPr>
              <w:t xml:space="preserve"> all</w:t>
            </w:r>
            <w:r w:rsidR="00C67F2C">
              <w:rPr>
                <w:rFonts w:ascii="Calibri" w:eastAsia="Times New Roman" w:hAnsi="Calibri" w:cs="Calibri"/>
                <w:szCs w:val="24"/>
                <w:lang w:val="en-US"/>
              </w:rPr>
              <w:t xml:space="preserve"> willing to share their departure statistics</w:t>
            </w:r>
            <w:r w:rsidR="001D0452">
              <w:rPr>
                <w:rFonts w:ascii="Calibri" w:eastAsia="Times New Roman" w:hAnsi="Calibri" w:cs="Calibri"/>
                <w:szCs w:val="24"/>
                <w:lang w:val="en-US"/>
              </w:rPr>
              <w:t xml:space="preserve">. </w:t>
            </w:r>
          </w:p>
          <w:p w14:paraId="2B49C542" w14:textId="492D9C37" w:rsidR="00C67F2C" w:rsidRDefault="00C67F2C" w:rsidP="006A7207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Next, the chair reminded members that in cases that there is a conflict between current faculty/school guidelines and the Academic Integrity Procedures, the procedures 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 xml:space="preserve">document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takes precedence until faculties and schools update their guidelines. </w:t>
            </w:r>
          </w:p>
          <w:p w14:paraId="7BE8DC42" w14:textId="7AFDDC6A" w:rsidR="00C67F2C" w:rsidRDefault="00C67F2C" w:rsidP="006A7207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One of the members </w:t>
            </w:r>
            <w:r w:rsidR="008C3F7A">
              <w:rPr>
                <w:rFonts w:ascii="Calibri" w:eastAsia="Times New Roman" w:hAnsi="Calibri" w:cs="Calibri"/>
                <w:szCs w:val="24"/>
                <w:lang w:val="en-US"/>
              </w:rPr>
              <w:t xml:space="preserve">explained that for those faculties who have not changed their internal guidelines, there are a few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primary</w:t>
            </w:r>
            <w:r w:rsidR="008C3F7A">
              <w:rPr>
                <w:rFonts w:ascii="Calibri" w:eastAsia="Times New Roman" w:hAnsi="Calibri" w:cs="Calibri"/>
                <w:szCs w:val="24"/>
                <w:lang w:val="en-US"/>
              </w:rPr>
              <w:t xml:space="preserve"> steps they can take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>:</w:t>
            </w:r>
          </w:p>
          <w:p w14:paraId="09D1E15E" w14:textId="047E8F4A" w:rsidR="008C3F7A" w:rsidRDefault="008C3F7A" w:rsidP="008C3F7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Find the language discrepancies between the new AI Procedures document and their guidelines.</w:t>
            </w:r>
          </w:p>
          <w:p w14:paraId="7D36F4F5" w14:textId="161BD968" w:rsidR="00C03F16" w:rsidRDefault="006C1C0B" w:rsidP="008C3F7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8C3F7A"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  <w:r w:rsidR="008C3F7A">
              <w:rPr>
                <w:rFonts w:ascii="Calibri" w:eastAsia="Times New Roman" w:hAnsi="Calibri" w:cs="Calibri"/>
                <w:szCs w:val="24"/>
                <w:lang w:val="en-US"/>
              </w:rPr>
              <w:t>Decide on the levels of appeal applicable in their faculties/schools.</w:t>
            </w:r>
          </w:p>
          <w:p w14:paraId="1AFC7CCF" w14:textId="569836F2" w:rsidR="008C3F7A" w:rsidRDefault="008C3F7A" w:rsidP="008C3F7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Determine the responsible bodies for appeals.</w:t>
            </w:r>
          </w:p>
          <w:p w14:paraId="2880C4AC" w14:textId="5F040D08" w:rsidR="008C3F7A" w:rsidRDefault="008C3F7A" w:rsidP="008C3F7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The chair mentioned that Matt c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ould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help in interpreting the </w:t>
            </w:r>
            <w:hyperlink r:id="rId8" w:history="1">
              <w:r w:rsidR="006C65E0" w:rsidRPr="006C65E0">
                <w:rPr>
                  <w:rStyle w:val="Hyperlink"/>
                  <w:rFonts w:ascii="Calibri" w:eastAsia="Times New Roman" w:hAnsi="Calibri" w:cs="Calibri"/>
                  <w:szCs w:val="24"/>
                  <w:lang w:val="en-US"/>
                </w:rPr>
                <w:t>Academic Integrity</w:t>
              </w:r>
              <w:r w:rsidRPr="006C65E0">
                <w:rPr>
                  <w:rStyle w:val="Hyperlink"/>
                  <w:rFonts w:ascii="Calibri" w:eastAsia="Times New Roman" w:hAnsi="Calibri" w:cs="Calibri"/>
                  <w:szCs w:val="24"/>
                  <w:lang w:val="en-US"/>
                </w:rPr>
                <w:t xml:space="preserve"> Procedures</w:t>
              </w:r>
            </w:hyperlink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. </w:t>
            </w:r>
          </w:p>
          <w:p w14:paraId="16386F74" w14:textId="43A4B4AE" w:rsidR="00DC182C" w:rsidRDefault="00DC182C" w:rsidP="008C3F7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Next, the chair reported on the AI website. There was a request for a note on top of the Forms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S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ection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encouraging faculty members to refer to their faculty/school websites for customized forms.  </w:t>
            </w:r>
          </w:p>
          <w:p w14:paraId="722F2FA3" w14:textId="2005A70D" w:rsidR="00A50EA1" w:rsidRDefault="00A50EA1" w:rsidP="008C3F7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The Ombuds Office has developed some educational resources 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>on academic integrity matters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. </w:t>
            </w:r>
          </w:p>
          <w:p w14:paraId="6DFA003F" w14:textId="5E38E96B" w:rsidR="00A50EA1" w:rsidRDefault="00A50EA1" w:rsidP="008C3F7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Another member mentioned that they found the Q&amp;A section of the website useful and interesting. </w:t>
            </w:r>
          </w:p>
          <w:p w14:paraId="485F8DEE" w14:textId="53485A3A" w:rsidR="00A50EA1" w:rsidRPr="008C3F7A" w:rsidRDefault="00A50EA1" w:rsidP="008C3F7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S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 xml:space="preserve">tudent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A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 xml:space="preserve">cademic Success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S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>ervices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 xml:space="preserve">(SASS)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has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collaborated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with the AI Coordinator on </w:t>
            </w:r>
            <w:r w:rsidR="006C65E0">
              <w:rPr>
                <w:rFonts w:ascii="Calibri" w:eastAsia="Times New Roman" w:hAnsi="Calibri" w:cs="Calibri"/>
                <w:szCs w:val="24"/>
                <w:lang w:val="en-US"/>
              </w:rPr>
              <w:t>several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projects.  </w:t>
            </w:r>
          </w:p>
          <w:p w14:paraId="5E49C7CA" w14:textId="77777777" w:rsidR="006A7207" w:rsidRPr="006A7207" w:rsidRDefault="006A7207" w:rsidP="00604D65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</w:p>
        </w:tc>
      </w:tr>
      <w:tr w:rsidR="006A7207" w:rsidRPr="006A7207" w14:paraId="5545C352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1ED" w14:textId="77777777" w:rsidR="006A7207" w:rsidRPr="006A7207" w:rsidRDefault="006A7207" w:rsidP="006A7207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7200"/>
              </w:tabs>
              <w:spacing w:before="240" w:after="0" w:line="320" w:lineRule="atLeast"/>
              <w:outlineLvl w:val="0"/>
              <w:rPr>
                <w:rFonts w:ascii="Calibri" w:eastAsia="Times New Roman" w:hAnsi="Calibri" w:cs="Calibri"/>
                <w:color w:val="365F91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color w:val="365F91"/>
                <w:szCs w:val="24"/>
                <w:lang w:val="en-US"/>
              </w:rPr>
              <w:t xml:space="preserve">New Business </w:t>
            </w:r>
          </w:p>
          <w:p w14:paraId="2DB00893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320" w:lineRule="atLeast"/>
              <w:outlineLvl w:val="0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 xml:space="preserve"> </w:t>
            </w:r>
          </w:p>
        </w:tc>
      </w:tr>
      <w:tr w:rsidR="00BA6EF2" w:rsidRPr="006A7207" w14:paraId="3B70966D" w14:textId="77777777" w:rsidTr="00876845">
        <w:trPr>
          <w:trHeight w:val="15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83B51" w14:textId="77777777" w:rsidR="00BA6EF2" w:rsidRDefault="00BA6EF2" w:rsidP="006A7207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BA6EF2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SASS AI Education Procedures Proposal</w:t>
            </w:r>
          </w:p>
          <w:p w14:paraId="6339CCBF" w14:textId="1DEBA631" w:rsidR="00A10CDD" w:rsidRPr="00B60590" w:rsidRDefault="00BA6EF2" w:rsidP="00BA6EF2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BA6EF2">
              <w:rPr>
                <w:rFonts w:ascii="Calibri" w:eastAsia="Times New Roman" w:hAnsi="Calibri" w:cs="Calibri"/>
                <w:szCs w:val="24"/>
                <w:lang w:val="en-US"/>
              </w:rPr>
              <w:t xml:space="preserve">SASS has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developed</w:t>
            </w:r>
            <w:r w:rsidRPr="00BA6EF2">
              <w:rPr>
                <w:rFonts w:ascii="Calibri" w:eastAsia="Times New Roman" w:hAnsi="Calibri" w:cs="Calibri"/>
                <w:szCs w:val="24"/>
                <w:lang w:val="en-US"/>
              </w:rPr>
              <w:t xml:space="preserve"> an educational procedure as a remedy/sanction for some AI departures.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The VPTL Office has been helping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with the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development. There was a question on what support is available at SASS in addition to writing support and plagiarism prevention? In addition to writing support, SASS can provide support in </w:t>
            </w:r>
            <w:r w:rsidR="00C5161C" w:rsidRPr="00C5161C">
              <w:rPr>
                <w:rFonts w:ascii="Calibri" w:eastAsia="Times New Roman" w:hAnsi="Calibri" w:cs="Calibri"/>
                <w:szCs w:val="24"/>
                <w:lang w:val="en-US"/>
              </w:rPr>
              <w:t>study skills and time management.</w:t>
            </w:r>
            <w:r w:rsidR="00B60590"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  <w:r w:rsidR="00A10CDD">
              <w:rPr>
                <w:rFonts w:ascii="Calibri" w:eastAsia="Times New Roman" w:hAnsi="Calibri" w:cs="Calibri"/>
                <w:szCs w:val="24"/>
                <w:lang w:val="en-US"/>
              </w:rPr>
              <w:t xml:space="preserve">The AI Educational Process can be used as a module, too. </w:t>
            </w:r>
          </w:p>
        </w:tc>
      </w:tr>
      <w:tr w:rsidR="006A7207" w:rsidRPr="006A7207" w14:paraId="4D6576B7" w14:textId="77777777" w:rsidTr="00876845">
        <w:trPr>
          <w:trHeight w:val="15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0B69" w14:textId="229BE616" w:rsidR="006A7207" w:rsidRPr="006A7207" w:rsidRDefault="002E30EB" w:rsidP="006A7207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2E30EB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Big case scenarios</w:t>
            </w:r>
            <w:r w:rsidR="006A7207" w:rsidRPr="006A7207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 xml:space="preserve"> </w:t>
            </w:r>
          </w:p>
          <w:p w14:paraId="32A71C1B" w14:textId="0D064C84" w:rsidR="006A7207" w:rsidRDefault="00917A2F" w:rsidP="008B03B5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First, the chair thanked the departments who shared the unusual case scenarios. Then, the group was assigned to breakout rooms to discuss various cases. </w:t>
            </w:r>
          </w:p>
          <w:p w14:paraId="45B216AE" w14:textId="02F62510" w:rsidR="00BA6EF2" w:rsidRDefault="00BA6EF2" w:rsidP="008B03B5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After the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group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discussions, some members shared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notes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and asked follow-up questions. </w:t>
            </w:r>
          </w:p>
          <w:p w14:paraId="67363867" w14:textId="6218F41C" w:rsidR="002E30EB" w:rsidRDefault="008A2C8D" w:rsidP="008B03B5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One question was </w:t>
            </w:r>
            <w:r w:rsidR="00412822">
              <w:rPr>
                <w:rFonts w:ascii="Calibri" w:eastAsia="Times New Roman" w:hAnsi="Calibri" w:cs="Calibri"/>
                <w:bCs/>
                <w:szCs w:val="24"/>
                <w:lang w:val="en-US"/>
              </w:rPr>
              <w:t>on</w:t>
            </w: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consider</w:t>
            </w:r>
            <w:r w:rsidR="00412822">
              <w:rPr>
                <w:rFonts w:ascii="Calibri" w:eastAsia="Times New Roman" w:hAnsi="Calibri" w:cs="Calibri"/>
                <w:bCs/>
                <w:szCs w:val="24"/>
                <w:lang w:val="en-US"/>
              </w:rPr>
              <w:t>ing</w:t>
            </w: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the</w:t>
            </w:r>
            <w:r w:rsidR="00F34BFF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exam type and </w:t>
            </w:r>
            <w:r w:rsidR="00004A1C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setup and </w:t>
            </w:r>
            <w:r w:rsidR="00412822">
              <w:rPr>
                <w:rFonts w:ascii="Calibri" w:eastAsia="Times New Roman" w:hAnsi="Calibri" w:cs="Calibri"/>
                <w:bCs/>
                <w:szCs w:val="24"/>
                <w:lang w:val="en-US"/>
              </w:rPr>
              <w:t>investigating</w:t>
            </w:r>
            <w:r w:rsidR="00004A1C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</w:t>
            </w:r>
            <w:r w:rsidR="00F34BFF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whether </w:t>
            </w:r>
            <w:r w:rsidR="00004A1C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the </w:t>
            </w:r>
            <w:r w:rsidR="005603CD">
              <w:rPr>
                <w:rFonts w:ascii="Calibri" w:eastAsia="Times New Roman" w:hAnsi="Calibri" w:cs="Calibri"/>
                <w:bCs/>
                <w:szCs w:val="24"/>
                <w:lang w:val="en-US"/>
              </w:rPr>
              <w:t>design</w:t>
            </w:r>
            <w:r w:rsidR="00F34BFF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was</w:t>
            </w:r>
            <w:r w:rsidR="005603CD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preventing </w:t>
            </w:r>
            <w:r w:rsidR="00412822">
              <w:rPr>
                <w:rFonts w:ascii="Calibri" w:eastAsia="Times New Roman" w:hAnsi="Calibri" w:cs="Calibri"/>
                <w:bCs/>
                <w:szCs w:val="24"/>
                <w:lang w:val="en-US"/>
              </w:rPr>
              <w:t>departure</w:t>
            </w:r>
            <w:r w:rsidR="005603CD">
              <w:rPr>
                <w:rFonts w:ascii="Calibri" w:eastAsia="Times New Roman" w:hAnsi="Calibri" w:cs="Calibri"/>
                <w:bCs/>
                <w:szCs w:val="24"/>
                <w:lang w:val="en-US"/>
              </w:rPr>
              <w:t>s</w:t>
            </w:r>
            <w:r w:rsidR="00412822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 </w:t>
            </w:r>
            <w:r w:rsidR="00F34BFF">
              <w:rPr>
                <w:rFonts w:ascii="Calibri" w:eastAsia="Times New Roman" w:hAnsi="Calibri" w:cs="Calibri"/>
                <w:bCs/>
                <w:szCs w:val="24"/>
                <w:lang w:val="en-US"/>
              </w:rPr>
              <w:t>or not</w:t>
            </w:r>
            <w:r w:rsidR="00004A1C"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. </w:t>
            </w:r>
          </w:p>
          <w:p w14:paraId="49FB5295" w14:textId="77777777" w:rsidR="00755CE2" w:rsidRDefault="00755CE2" w:rsidP="008B03B5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>One of the members asked about how we can make academic integrity more engaging for the students.</w:t>
            </w:r>
          </w:p>
          <w:p w14:paraId="51E14DFF" w14:textId="7453790B" w:rsidR="00755CE2" w:rsidRDefault="00755CE2" w:rsidP="008B03B5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The chair commented that AI is discussed during orientations. Additionally, we need to think of a different approach to tackle AI challenges. Another member discussed that an issue might be cultural. </w:t>
            </w:r>
          </w:p>
          <w:p w14:paraId="605F91B3" w14:textId="79712F66" w:rsidR="00755CE2" w:rsidRPr="006A7207" w:rsidRDefault="00755CE2" w:rsidP="008B03B5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>The HREO courses make it easy to track module completion</w:t>
            </w:r>
          </w:p>
        </w:tc>
      </w:tr>
      <w:tr w:rsidR="00BA6EF2" w:rsidRPr="006A7207" w14:paraId="1B1B2775" w14:textId="77777777" w:rsidTr="00876845">
        <w:trPr>
          <w:trHeight w:val="12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5568B" w14:textId="77777777" w:rsidR="00BA6EF2" w:rsidRDefault="00755CE2" w:rsidP="008B03B5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755CE2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Academic Integrity Roundtable Terms of References</w:t>
            </w:r>
          </w:p>
          <w:p w14:paraId="167B8146" w14:textId="14953C8D" w:rsidR="00755CE2" w:rsidRPr="00604D65" w:rsidRDefault="00755CE2" w:rsidP="00755CE2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755CE2">
              <w:rPr>
                <w:rFonts w:ascii="Calibri" w:eastAsia="Times New Roman" w:hAnsi="Calibri" w:cs="Calibri"/>
                <w:bCs/>
                <w:szCs w:val="24"/>
                <w:lang w:val="en-US"/>
              </w:rPr>
              <w:t>The new terms of references were approved by the members as circulated</w:t>
            </w:r>
            <w:r>
              <w:rPr>
                <w:rFonts w:ascii="Calibri" w:eastAsia="Times New Roman" w:hAnsi="Calibri" w:cs="Calibri"/>
                <w:bCs/>
                <w:szCs w:val="24"/>
                <w:lang w:val="en-US"/>
              </w:rPr>
              <w:t xml:space="preserve">. The motion was moved by Andy Leger and seconded by </w:t>
            </w:r>
            <w:r w:rsidR="007F3744" w:rsidRPr="007F3744">
              <w:rPr>
                <w:rFonts w:ascii="Calibri" w:eastAsia="Times New Roman" w:hAnsi="Calibri" w:cs="Calibri"/>
                <w:bCs/>
                <w:szCs w:val="24"/>
                <w:lang w:val="en-US"/>
              </w:rPr>
              <w:t>Stephanie Forster</w:t>
            </w:r>
            <w:r w:rsidR="007F3744">
              <w:rPr>
                <w:rFonts w:ascii="Calibri" w:eastAsia="Times New Roman" w:hAnsi="Calibri" w:cs="Calibri"/>
                <w:bCs/>
                <w:szCs w:val="24"/>
                <w:lang w:val="en-US"/>
              </w:rPr>
              <w:t>.</w:t>
            </w:r>
          </w:p>
        </w:tc>
      </w:tr>
      <w:tr w:rsidR="006A7207" w:rsidRPr="006A7207" w14:paraId="771C0B00" w14:textId="77777777" w:rsidTr="00876845">
        <w:trPr>
          <w:trHeight w:val="12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9E10B" w14:textId="56BA3A87" w:rsidR="002E30EB" w:rsidRPr="007F3744" w:rsidRDefault="007F3744" w:rsidP="003A20DB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7F3744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Online reporting system</w:t>
            </w:r>
          </w:p>
          <w:p w14:paraId="4164442E" w14:textId="4DFF6747" w:rsidR="007F3744" w:rsidRDefault="00412822" w:rsidP="007F3744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T</w:t>
            </w:r>
            <w:r w:rsidR="00826A33">
              <w:rPr>
                <w:rFonts w:ascii="Calibri" w:eastAsia="Times New Roman" w:hAnsi="Calibri" w:cs="Calibri"/>
                <w:szCs w:val="24"/>
                <w:lang w:val="en-US"/>
              </w:rPr>
              <w:t xml:space="preserve">he chair reported that the AI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coordinator was</w:t>
            </w:r>
            <w:r w:rsidR="00826A33">
              <w:rPr>
                <w:rFonts w:ascii="Calibri" w:eastAsia="Times New Roman" w:hAnsi="Calibri" w:cs="Calibri"/>
                <w:szCs w:val="24"/>
                <w:lang w:val="en-US"/>
              </w:rPr>
              <w:t xml:space="preserve"> investigating online reporting systems.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While a useful system, the Advocate System</w:t>
            </w:r>
            <w:r w:rsidR="00826A33">
              <w:rPr>
                <w:rFonts w:ascii="Calibri" w:eastAsia="Times New Roman" w:hAnsi="Calibri" w:cs="Calibri"/>
                <w:szCs w:val="24"/>
                <w:lang w:val="en-US"/>
              </w:rPr>
              <w:t xml:space="preserve"> is not a suitable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one</w:t>
            </w:r>
            <w:r w:rsidR="00826A33">
              <w:rPr>
                <w:rFonts w:ascii="Calibri" w:eastAsia="Times New Roman" w:hAnsi="Calibri" w:cs="Calibri"/>
                <w:szCs w:val="24"/>
                <w:lang w:val="en-US"/>
              </w:rPr>
              <w:t xml:space="preserve"> for us. It can not be integrated into our university system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,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and it demands dedicated personnel in each faculty/school</w:t>
            </w:r>
            <w:r w:rsidR="00826A33">
              <w:rPr>
                <w:rFonts w:ascii="Calibri" w:eastAsia="Times New Roman" w:hAnsi="Calibri" w:cs="Calibri"/>
                <w:szCs w:val="24"/>
                <w:lang w:val="en-US"/>
              </w:rPr>
              <w:t xml:space="preserve">. </w:t>
            </w:r>
          </w:p>
          <w:p w14:paraId="43582173" w14:textId="2E4ADA8F" w:rsidR="00826A33" w:rsidRDefault="00826A33" w:rsidP="007F3744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The chair asked if an online reporting system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wa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s needed? </w:t>
            </w:r>
          </w:p>
          <w:p w14:paraId="7F9B656B" w14:textId="7E2F3D8A" w:rsidR="00826A33" w:rsidRDefault="00826A33" w:rsidP="007F3744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One member mentioned that a system </w:t>
            </w:r>
            <w:r w:rsidR="00D72551">
              <w:rPr>
                <w:rFonts w:ascii="Calibri" w:eastAsia="Times New Roman" w:hAnsi="Calibri" w:cs="Calibri"/>
                <w:szCs w:val="24"/>
                <w:lang w:val="en-US"/>
              </w:rPr>
              <w:t>c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ould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be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help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ful</w:t>
            </w:r>
            <w:r w:rsidR="00D72551">
              <w:rPr>
                <w:rFonts w:ascii="Calibri" w:eastAsia="Times New Roman" w:hAnsi="Calibri" w:cs="Calibri"/>
                <w:szCs w:val="24"/>
                <w:lang w:val="en-US"/>
              </w:rPr>
              <w:t xml:space="preserve"> because it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makes</w:t>
            </w:r>
            <w:r w:rsidR="00D72551">
              <w:rPr>
                <w:rFonts w:ascii="Calibri" w:eastAsia="Times New Roman" w:hAnsi="Calibri" w:cs="Calibri"/>
                <w:szCs w:val="24"/>
                <w:lang w:val="en-US"/>
              </w:rPr>
              <w:t xml:space="preserve"> data management and organization </w:t>
            </w:r>
            <w:r w:rsidR="00D72551">
              <w:rPr>
                <w:rFonts w:ascii="Calibri" w:eastAsia="Times New Roman" w:hAnsi="Calibri" w:cs="Calibri"/>
                <w:szCs w:val="24"/>
                <w:lang w:val="en-US"/>
              </w:rPr>
              <w:lastRenderedPageBreak/>
              <w:t xml:space="preserve">easier. </w:t>
            </w:r>
          </w:p>
          <w:p w14:paraId="48F897A4" w14:textId="2847CB80" w:rsidR="00D72551" w:rsidRDefault="00D72551" w:rsidP="007F3744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Another member explained that faculty members are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overwhelmed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with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 xml:space="preserve">using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multiple systems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;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learning to operate a new system is excessive. </w:t>
            </w:r>
          </w:p>
          <w:p w14:paraId="0A8B03E9" w14:textId="41DF617D" w:rsidR="00D72551" w:rsidRPr="007F3744" w:rsidRDefault="00D72551" w:rsidP="007F3744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Another member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commented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that faculty members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complain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about the amount of labour they put into filling out forms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,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and using an automated system would </w:t>
            </w:r>
            <w:r w:rsidR="00412822">
              <w:rPr>
                <w:rFonts w:ascii="Calibri" w:eastAsia="Times New Roman" w:hAnsi="Calibri" w:cs="Calibri"/>
                <w:szCs w:val="24"/>
                <w:lang w:val="en-US"/>
              </w:rPr>
              <w:t>help them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. </w:t>
            </w:r>
          </w:p>
          <w:p w14:paraId="28484216" w14:textId="4FEE1073" w:rsidR="006A7207" w:rsidRPr="008B03B5" w:rsidRDefault="008B03B5" w:rsidP="008B03B5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</w:p>
        </w:tc>
      </w:tr>
      <w:tr w:rsidR="006A7207" w:rsidRPr="006A7207" w14:paraId="598F1E03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016" w14:textId="77777777" w:rsidR="006A7207" w:rsidRDefault="00D72551" w:rsidP="003A20DB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D72551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lastRenderedPageBreak/>
              <w:t>Academic Integrity Priorities</w:t>
            </w:r>
          </w:p>
          <w:p w14:paraId="620AB496" w14:textId="6DAECF0B" w:rsidR="003A20DB" w:rsidRPr="003A20DB" w:rsidRDefault="003A20DB" w:rsidP="003A20D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A member mentioned that the AI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coordinator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  <w:r w:rsidR="003673E3">
              <w:rPr>
                <w:rFonts w:ascii="Calibri" w:eastAsia="Times New Roman" w:hAnsi="Calibri" w:cs="Calibri"/>
                <w:szCs w:val="24"/>
                <w:lang w:val="en-US"/>
              </w:rPr>
              <w:t>offered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 to provide training on various academic integrity matters.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AI training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 would be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help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>ful for the SASS advisors. The advisors can support students</w:t>
            </w:r>
            <w:r w:rsidR="003673E3">
              <w:rPr>
                <w:rFonts w:ascii="Calibri" w:eastAsia="Times New Roman" w:hAnsi="Calibri" w:cs="Calibri"/>
                <w:szCs w:val="24"/>
                <w:lang w:val="en-US"/>
              </w:rPr>
              <w:t>’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  <w:r w:rsidR="003673E3">
              <w:rPr>
                <w:rFonts w:ascii="Calibri" w:eastAsia="Times New Roman" w:hAnsi="Calibri" w:cs="Calibri"/>
                <w:szCs w:val="24"/>
                <w:lang w:val="en-US"/>
              </w:rPr>
              <w:t>understanding of the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 sanctions.</w:t>
            </w:r>
          </w:p>
          <w:p w14:paraId="46482A64" w14:textId="38D0DA47" w:rsidR="003A20DB" w:rsidRPr="006A7207" w:rsidRDefault="003A20DB" w:rsidP="003A20D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The Ombudsperson Office focuses on helping students find out what is next and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their options</w:t>
            </w:r>
            <w:r w:rsidRPr="003A20DB">
              <w:rPr>
                <w:rFonts w:ascii="Calibri" w:eastAsia="Times New Roman" w:hAnsi="Calibri" w:cs="Calibri"/>
                <w:szCs w:val="24"/>
                <w:lang w:val="en-US"/>
              </w:rPr>
              <w:t xml:space="preserve"> at various stages of academic integrity departure investigation. </w:t>
            </w:r>
          </w:p>
        </w:tc>
      </w:tr>
      <w:tr w:rsidR="008B03B5" w:rsidRPr="006A7207" w14:paraId="019542D2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EDE" w14:textId="77777777" w:rsidR="00D646A5" w:rsidRPr="00D646A5" w:rsidRDefault="00D646A5" w:rsidP="008B03B5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D646A5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Training for Faculty</w:t>
            </w:r>
          </w:p>
          <w:p w14:paraId="448A1D5D" w14:textId="17300372" w:rsidR="008B03B5" w:rsidRPr="00604D65" w:rsidRDefault="003A20DB" w:rsidP="00D646A5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contextualSpacing/>
              <w:outlineLvl w:val="0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A workshop has been developed for faculty members on 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addressing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departures from academic integrity. Dr. Rahimian explained that he c</w:t>
            </w:r>
            <w:r w:rsidR="005603CD">
              <w:rPr>
                <w:rFonts w:ascii="Calibri" w:eastAsia="Times New Roman" w:hAnsi="Calibri" w:cs="Calibri"/>
                <w:szCs w:val="24"/>
                <w:lang w:val="en-US"/>
              </w:rPr>
              <w:t>ould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 adjust and modify the workshop to meet </w:t>
            </w:r>
            <w:r w:rsidR="003673E3">
              <w:rPr>
                <w:rFonts w:ascii="Calibri" w:eastAsia="Times New Roman" w:hAnsi="Calibri" w:cs="Calibri"/>
                <w:szCs w:val="24"/>
                <w:lang w:val="en-US"/>
              </w:rPr>
              <w:t xml:space="preserve">the 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 xml:space="preserve">different needs of faculties and schools. </w:t>
            </w:r>
            <w:r w:rsidR="008B03B5">
              <w:rPr>
                <w:rFonts w:ascii="Calibri" w:eastAsia="Times New Roman" w:hAnsi="Calibri" w:cs="Calibri"/>
                <w:szCs w:val="24"/>
                <w:lang w:val="en-US"/>
              </w:rPr>
              <w:t xml:space="preserve"> </w:t>
            </w:r>
          </w:p>
        </w:tc>
      </w:tr>
      <w:tr w:rsidR="006A7207" w:rsidRPr="006A7207" w14:paraId="78C1F595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134" w14:textId="77777777" w:rsidR="006A7207" w:rsidRPr="006A7207" w:rsidRDefault="006A7207" w:rsidP="006A7207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7200"/>
              </w:tabs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szCs w:val="24"/>
                <w:lang w:val="en-US"/>
              </w:rPr>
              <w:t>Other Business</w:t>
            </w:r>
          </w:p>
          <w:p w14:paraId="448F891B" w14:textId="74589B10" w:rsidR="006A7207" w:rsidRPr="006A7207" w:rsidRDefault="006A7207" w:rsidP="008B03B5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szCs w:val="24"/>
                <w:lang w:val="en-US"/>
              </w:rPr>
              <w:t>There being no other business</w:t>
            </w:r>
            <w:r w:rsidR="008B03B5">
              <w:rPr>
                <w:rFonts w:ascii="Calibri" w:eastAsia="Times New Roman" w:hAnsi="Calibri" w:cs="Calibri"/>
                <w:szCs w:val="24"/>
                <w:lang w:val="en-US"/>
              </w:rPr>
              <w:t xml:space="preserve">, the meeting adjourned at </w:t>
            </w:r>
            <w:r w:rsidR="003F7FE8">
              <w:rPr>
                <w:rFonts w:ascii="Calibri" w:eastAsia="Times New Roman" w:hAnsi="Calibri" w:cs="Calibri"/>
                <w:szCs w:val="24"/>
                <w:lang w:val="en-US"/>
              </w:rPr>
              <w:t>09</w:t>
            </w:r>
            <w:r w:rsidR="008B03B5">
              <w:rPr>
                <w:rFonts w:ascii="Calibri" w:eastAsia="Times New Roman" w:hAnsi="Calibri" w:cs="Calibri"/>
                <w:szCs w:val="24"/>
                <w:lang w:val="en-US"/>
              </w:rPr>
              <w:t>:</w:t>
            </w:r>
            <w:r w:rsidR="003F7FE8">
              <w:rPr>
                <w:rFonts w:ascii="Calibri" w:eastAsia="Times New Roman" w:hAnsi="Calibri" w:cs="Calibri"/>
                <w:szCs w:val="24"/>
                <w:lang w:val="en-US"/>
              </w:rPr>
              <w:t>58</w:t>
            </w:r>
            <w:r w:rsidR="008B03B5">
              <w:rPr>
                <w:rFonts w:ascii="Calibri" w:eastAsia="Times New Roman" w:hAnsi="Calibri" w:cs="Calibri"/>
                <w:szCs w:val="24"/>
                <w:lang w:val="en-US"/>
              </w:rPr>
              <w:t xml:space="preserve">.     </w:t>
            </w:r>
          </w:p>
          <w:p w14:paraId="518BBC41" w14:textId="77777777" w:rsidR="006A7207" w:rsidRPr="006A7207" w:rsidRDefault="006A7207" w:rsidP="006A72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7200"/>
              </w:tabs>
              <w:spacing w:after="0" w:line="220" w:lineRule="exact"/>
              <w:ind w:left="1080"/>
              <w:contextualSpacing/>
              <w:rPr>
                <w:rFonts w:ascii="Calibri" w:eastAsia="Times New Roman" w:hAnsi="Calibri" w:cs="Calibri"/>
                <w:bCs/>
                <w:szCs w:val="24"/>
                <w:lang w:val="en-US"/>
              </w:rPr>
            </w:pPr>
          </w:p>
        </w:tc>
      </w:tr>
      <w:tr w:rsidR="00905D5D" w:rsidRPr="006A7207" w14:paraId="58943D81" w14:textId="77777777" w:rsidTr="0087684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FA9" w14:textId="77777777" w:rsidR="00905D5D" w:rsidRPr="003C279A" w:rsidRDefault="00905D5D" w:rsidP="003C279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</w:pPr>
            <w:r w:rsidRPr="003C279A">
              <w:rPr>
                <w:rFonts w:ascii="Calibri" w:eastAsia="Times New Roman" w:hAnsi="Calibri" w:cs="Calibri"/>
                <w:b/>
                <w:bCs/>
                <w:szCs w:val="24"/>
                <w:lang w:val="en-US"/>
              </w:rPr>
              <w:t>Action Items:</w:t>
            </w:r>
          </w:p>
          <w:p w14:paraId="240404B7" w14:textId="0E5F2D46" w:rsidR="00905D5D" w:rsidRPr="003C279A" w:rsidRDefault="003C279A" w:rsidP="003C27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3C279A">
              <w:rPr>
                <w:rFonts w:ascii="Calibri" w:eastAsia="Times New Roman" w:hAnsi="Calibri" w:cs="Calibri"/>
                <w:szCs w:val="24"/>
                <w:lang w:val="en-US"/>
              </w:rPr>
              <w:t>Add a notation on the top of the Forms Section on the AI Website to encourage faculty to consult their faculty/school for customized forms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.</w:t>
            </w:r>
            <w:r w:rsidRPr="003C279A">
              <w:rPr>
                <w:rFonts w:ascii="Calibri" w:eastAsia="Times New Roman" w:hAnsi="Calibri" w:cs="Calibri"/>
                <w:szCs w:val="24"/>
                <w:lang w:val="en-US"/>
              </w:rPr>
              <w:t xml:space="preserve"> (Matt-Done)</w:t>
            </w:r>
          </w:p>
          <w:p w14:paraId="676D2198" w14:textId="76656C55" w:rsidR="003C279A" w:rsidRDefault="003C279A" w:rsidP="003C27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3C279A">
              <w:rPr>
                <w:rFonts w:ascii="Calibri" w:eastAsia="Times New Roman" w:hAnsi="Calibri" w:cs="Calibri"/>
                <w:szCs w:val="24"/>
                <w:lang w:val="en-US"/>
              </w:rPr>
              <w:t>SASS continues to work on the AI Education Procedures proposal</w:t>
            </w:r>
            <w:r>
              <w:rPr>
                <w:rFonts w:ascii="Calibri" w:eastAsia="Times New Roman" w:hAnsi="Calibri" w:cs="Calibri"/>
                <w:szCs w:val="24"/>
                <w:lang w:val="en-US"/>
              </w:rPr>
              <w:t>. (Susan Korba-Matt will collaborate)</w:t>
            </w:r>
          </w:p>
          <w:p w14:paraId="2BF9F988" w14:textId="091DA662" w:rsidR="003C279A" w:rsidRDefault="003C279A" w:rsidP="003C27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To share concerns with the Assessment Practices Taskforce about promoting academic integrity in online exams</w:t>
            </w:r>
            <w:r w:rsidR="00B4202E">
              <w:rPr>
                <w:rFonts w:ascii="Calibri" w:eastAsia="Times New Roman" w:hAnsi="Calibri" w:cs="Calibri"/>
                <w:szCs w:val="24"/>
                <w:lang w:val="en-US"/>
              </w:rPr>
              <w:t>. (Klodiana)</w:t>
            </w:r>
          </w:p>
          <w:p w14:paraId="5184A65D" w14:textId="60298F7E" w:rsidR="00B4202E" w:rsidRDefault="00B4202E" w:rsidP="003C27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Investigations about an online reporting system (Klodiana and Matt – To find out about the budget)</w:t>
            </w:r>
          </w:p>
          <w:p w14:paraId="3572BBF3" w14:textId="0A710FB8" w:rsidR="00B4202E" w:rsidRPr="003C279A" w:rsidRDefault="00B4202E" w:rsidP="003C27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Cs w:val="24"/>
                <w:lang w:val="en-US"/>
              </w:rPr>
              <w:t>AI Training (Matt)</w:t>
            </w:r>
          </w:p>
          <w:p w14:paraId="6D4704E9" w14:textId="7DDECD0B" w:rsidR="003C279A" w:rsidRPr="003C279A" w:rsidRDefault="003C279A" w:rsidP="003C279A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7200"/>
              </w:tabs>
              <w:spacing w:after="0" w:line="240" w:lineRule="auto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</w:tc>
      </w:tr>
      <w:tr w:rsidR="006A7207" w:rsidRPr="006A7207" w14:paraId="0118E07F" w14:textId="77777777" w:rsidTr="00876845">
        <w:trPr>
          <w:trHeight w:val="3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1939"/>
          </w:tcPr>
          <w:p w14:paraId="43F74B84" w14:textId="77777777" w:rsidR="006A7207" w:rsidRPr="006A7207" w:rsidRDefault="006A7207" w:rsidP="006A7207">
            <w:pPr>
              <w:widowControl w:val="0"/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</w:pPr>
            <w:r w:rsidRPr="006A7207">
              <w:rPr>
                <w:rFonts w:ascii="Calibri" w:eastAsia="Times New Roman" w:hAnsi="Calibri" w:cs="Calibri"/>
                <w:b/>
                <w:color w:val="FFFFFF"/>
                <w:szCs w:val="24"/>
                <w:lang w:val="en-US"/>
              </w:rPr>
              <w:t xml:space="preserve">Next Meeting: TBA </w:t>
            </w:r>
          </w:p>
        </w:tc>
      </w:tr>
    </w:tbl>
    <w:p w14:paraId="32691DF0" w14:textId="77777777" w:rsidR="006A7207" w:rsidRPr="006A7207" w:rsidRDefault="006A7207" w:rsidP="006A7207">
      <w:pPr>
        <w:widowControl w:val="0"/>
        <w:tabs>
          <w:tab w:val="left" w:pos="720"/>
          <w:tab w:val="left" w:pos="1440"/>
          <w:tab w:val="left" w:pos="7200"/>
        </w:tabs>
        <w:spacing w:after="0" w:line="320" w:lineRule="atLeast"/>
        <w:jc w:val="center"/>
        <w:rPr>
          <w:rFonts w:ascii="Palatino Linotype" w:eastAsia="Times New Roman" w:hAnsi="Palatino Linotype" w:cs="Times New Roman"/>
          <w:sz w:val="22"/>
          <w:lang w:val="en-US"/>
        </w:rPr>
      </w:pPr>
    </w:p>
    <w:p w14:paraId="6994F979" w14:textId="77777777" w:rsidR="00965C7E" w:rsidRDefault="00965C7E"/>
    <w:sectPr w:rsidR="009F722B" w:rsidSect="006A7207">
      <w:footerReference w:type="default" r:id="rId9"/>
      <w:pgSz w:w="12240" w:h="15840"/>
      <w:pgMar w:top="720" w:right="720" w:bottom="720" w:left="720" w:header="0" w:footer="7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D54F" w14:textId="77777777" w:rsidR="006972A2" w:rsidRDefault="00876845">
      <w:pPr>
        <w:spacing w:after="0" w:line="240" w:lineRule="auto"/>
      </w:pPr>
      <w:r>
        <w:separator/>
      </w:r>
    </w:p>
  </w:endnote>
  <w:endnote w:type="continuationSeparator" w:id="0">
    <w:p w14:paraId="43001982" w14:textId="77777777" w:rsidR="006972A2" w:rsidRDefault="0087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379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B6019" w14:textId="77777777" w:rsidR="00965C7E" w:rsidRDefault="006A72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9129787" w14:textId="77777777" w:rsidR="00965C7E" w:rsidRDefault="00965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1D41" w14:textId="77777777" w:rsidR="006972A2" w:rsidRDefault="00876845">
      <w:pPr>
        <w:spacing w:after="0" w:line="240" w:lineRule="auto"/>
      </w:pPr>
      <w:r>
        <w:separator/>
      </w:r>
    </w:p>
  </w:footnote>
  <w:footnote w:type="continuationSeparator" w:id="0">
    <w:p w14:paraId="03EECBA9" w14:textId="77777777" w:rsidR="006972A2" w:rsidRDefault="0087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C14"/>
    <w:multiLevelType w:val="hybridMultilevel"/>
    <w:tmpl w:val="4F004C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74CA5"/>
    <w:multiLevelType w:val="hybridMultilevel"/>
    <w:tmpl w:val="10B08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EDE"/>
    <w:multiLevelType w:val="hybridMultilevel"/>
    <w:tmpl w:val="1C566F6E"/>
    <w:lvl w:ilvl="0" w:tplc="4F6A2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276A"/>
    <w:multiLevelType w:val="hybridMultilevel"/>
    <w:tmpl w:val="2E3654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A100D0"/>
    <w:multiLevelType w:val="hybridMultilevel"/>
    <w:tmpl w:val="CE92707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16325847">
    <w:abstractNumId w:val="0"/>
  </w:num>
  <w:num w:numId="2" w16cid:durableId="1743023261">
    <w:abstractNumId w:val="3"/>
  </w:num>
  <w:num w:numId="3" w16cid:durableId="1352953175">
    <w:abstractNumId w:val="4"/>
  </w:num>
  <w:num w:numId="4" w16cid:durableId="1887526293">
    <w:abstractNumId w:val="2"/>
  </w:num>
  <w:num w:numId="5" w16cid:durableId="123805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DM1MTIyMTO2NDRQ0lEKTi0uzszPAymwqAUAJDaevSwAAAA="/>
  </w:docVars>
  <w:rsids>
    <w:rsidRoot w:val="00333C48"/>
    <w:rsid w:val="00004A1C"/>
    <w:rsid w:val="00045E69"/>
    <w:rsid w:val="0005113B"/>
    <w:rsid w:val="00065637"/>
    <w:rsid w:val="00091094"/>
    <w:rsid w:val="000A778C"/>
    <w:rsid w:val="001D0452"/>
    <w:rsid w:val="00210862"/>
    <w:rsid w:val="00217899"/>
    <w:rsid w:val="00280278"/>
    <w:rsid w:val="002C1944"/>
    <w:rsid w:val="002D29F9"/>
    <w:rsid w:val="002E30EB"/>
    <w:rsid w:val="00333C48"/>
    <w:rsid w:val="003673E3"/>
    <w:rsid w:val="003A20DB"/>
    <w:rsid w:val="003C279A"/>
    <w:rsid w:val="003F7FE8"/>
    <w:rsid w:val="00412822"/>
    <w:rsid w:val="004F337A"/>
    <w:rsid w:val="00525CC3"/>
    <w:rsid w:val="00536C94"/>
    <w:rsid w:val="005603CD"/>
    <w:rsid w:val="005B65A3"/>
    <w:rsid w:val="005C6475"/>
    <w:rsid w:val="00604D65"/>
    <w:rsid w:val="00636A32"/>
    <w:rsid w:val="00695816"/>
    <w:rsid w:val="006972A2"/>
    <w:rsid w:val="006A7207"/>
    <w:rsid w:val="006B6082"/>
    <w:rsid w:val="006C1C0B"/>
    <w:rsid w:val="006C65E0"/>
    <w:rsid w:val="00740821"/>
    <w:rsid w:val="00755CE2"/>
    <w:rsid w:val="007F3744"/>
    <w:rsid w:val="0082109C"/>
    <w:rsid w:val="00826A33"/>
    <w:rsid w:val="00850FFD"/>
    <w:rsid w:val="00876845"/>
    <w:rsid w:val="008A2C8D"/>
    <w:rsid w:val="008B03B5"/>
    <w:rsid w:val="008C3F7A"/>
    <w:rsid w:val="00905D5D"/>
    <w:rsid w:val="00917A2F"/>
    <w:rsid w:val="00965C7E"/>
    <w:rsid w:val="00A10CDD"/>
    <w:rsid w:val="00A50EA1"/>
    <w:rsid w:val="00B41196"/>
    <w:rsid w:val="00B4202E"/>
    <w:rsid w:val="00B60590"/>
    <w:rsid w:val="00B87656"/>
    <w:rsid w:val="00BA40D4"/>
    <w:rsid w:val="00BA6EF2"/>
    <w:rsid w:val="00BD08A8"/>
    <w:rsid w:val="00BE110C"/>
    <w:rsid w:val="00C03F16"/>
    <w:rsid w:val="00C341D7"/>
    <w:rsid w:val="00C5161C"/>
    <w:rsid w:val="00C566B0"/>
    <w:rsid w:val="00C6105A"/>
    <w:rsid w:val="00C67F2C"/>
    <w:rsid w:val="00CC12EA"/>
    <w:rsid w:val="00D048B7"/>
    <w:rsid w:val="00D1627B"/>
    <w:rsid w:val="00D26F32"/>
    <w:rsid w:val="00D646A5"/>
    <w:rsid w:val="00D66088"/>
    <w:rsid w:val="00D72551"/>
    <w:rsid w:val="00D80933"/>
    <w:rsid w:val="00DC0F57"/>
    <w:rsid w:val="00DC182C"/>
    <w:rsid w:val="00DC45D2"/>
    <w:rsid w:val="00DD4EA4"/>
    <w:rsid w:val="00E04852"/>
    <w:rsid w:val="00F34BFF"/>
    <w:rsid w:val="00F46F4F"/>
    <w:rsid w:val="00FE365B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9084"/>
  <w15:chartTrackingRefBased/>
  <w15:docId w15:val="{57141DA4-56C3-4334-B4EC-4A535C5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207"/>
    <w:rPr>
      <w:lang w:val="en-CA"/>
    </w:rPr>
  </w:style>
  <w:style w:type="paragraph" w:styleId="ListParagraph">
    <w:name w:val="List Paragraph"/>
    <w:basedOn w:val="Normal"/>
    <w:uiPriority w:val="34"/>
    <w:qFormat/>
    <w:rsid w:val="00604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u.ca/secretariat/policies/senate/academic-integrity-procedures-requirements-faculties-schoo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Rahimian</dc:creator>
  <cp:keywords/>
  <dc:description/>
  <cp:lastModifiedBy>Claire O'Brien</cp:lastModifiedBy>
  <cp:revision>52</cp:revision>
  <dcterms:created xsi:type="dcterms:W3CDTF">2022-01-31T15:29:00Z</dcterms:created>
  <dcterms:modified xsi:type="dcterms:W3CDTF">2023-10-04T19:36:00Z</dcterms:modified>
</cp:coreProperties>
</file>